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592" w:firstLineChars="200"/>
        <w:textAlignment w:val="auto"/>
        <w:rPr>
          <w:rFonts w:hint="eastAsia" w:ascii="Times New Roman" w:hAnsi="Times New Roman" w:eastAsia="黑体" w:cs="Times New Roman"/>
          <w:spacing w:val="-12"/>
          <w:kern w:val="2"/>
          <w:sz w:val="32"/>
          <w:szCs w:val="32"/>
          <w:lang w:val="en-US" w:eastAsia="zh-CN" w:bidi="ar-SA"/>
        </w:rPr>
      </w:pPr>
      <w:r>
        <w:rPr>
          <w:rFonts w:hint="default" w:ascii="Times New Roman" w:hAnsi="Times New Roman" w:eastAsia="黑体" w:cs="Times New Roman"/>
          <w:color w:val="auto"/>
          <w:spacing w:val="-12"/>
          <w:sz w:val="32"/>
          <w:szCs w:val="32"/>
          <w:highlight w:val="none"/>
          <w:lang w:val="en-US" w:eastAsia="zh-CN"/>
        </w:rPr>
        <w:t>一</w:t>
      </w:r>
      <w:r>
        <w:rPr>
          <w:rFonts w:hint="default" w:ascii="Times New Roman" w:hAnsi="Times New Roman" w:eastAsia="黑体" w:cs="Times New Roman"/>
          <w:color w:val="auto"/>
          <w:spacing w:val="-12"/>
          <w:sz w:val="32"/>
          <w:szCs w:val="32"/>
          <w:highlight w:val="none"/>
        </w:rPr>
        <w:t>、</w:t>
      </w:r>
      <w:r>
        <w:rPr>
          <w:rFonts w:hint="eastAsia" w:ascii="Times New Roman" w:hAnsi="Times New Roman" w:eastAsia="黑体" w:cs="Times New Roman"/>
          <w:spacing w:val="-12"/>
          <w:kern w:val="2"/>
          <w:sz w:val="32"/>
          <w:szCs w:val="32"/>
          <w:lang w:val="en-US" w:eastAsia="zh-CN" w:bidi="ar-SA"/>
        </w:rPr>
        <w:t>日落黄</w:t>
      </w:r>
    </w:p>
    <w:p>
      <w:pPr>
        <w:pStyle w:val="9"/>
        <w:numPr>
          <w:ilvl w:val="0"/>
          <w:numId w:val="0"/>
        </w:numPr>
        <w:overflowPunct w:val="0"/>
        <w:adjustRightInd w:val="0"/>
        <w:snapToGrid w:val="0"/>
        <w:spacing w:after="0" w:line="594" w:lineRule="exact"/>
        <w:ind w:firstLine="640" w:firstLineChars="200"/>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pPr>
      <w:r>
        <w:rPr>
          <w:rFonts w:hint="eastAsia" w:ascii="Times New Roman" w:hAnsi="Times New Roman" w:eastAsia="仿宋_GB2312" w:cs="Times New Roman"/>
          <w:sz w:val="32"/>
          <w:szCs w:val="32"/>
          <w:lang w:val="en-US" w:eastAsia="zh-CN"/>
        </w:rPr>
        <w:t>日落黄属于水溶性</w:t>
      </w:r>
      <w:r>
        <w:rPr>
          <w:rFonts w:hint="default" w:ascii="Times New Roman" w:hAnsi="Times New Roman" w:eastAsia="仿宋_GB2312" w:cs="Times New Roman"/>
          <w:sz w:val="32"/>
          <w:szCs w:val="32"/>
          <w:lang w:val="en-US" w:eastAsia="zh-CN"/>
        </w:rPr>
        <w:t>偶氮类化合物，是常见的人工合成着色剂，在食品生产</w:t>
      </w:r>
      <w:r>
        <w:rPr>
          <w:rFonts w:hint="default" w:ascii="Times New Roman" w:hAnsi="Times New Roman" w:eastAsia="仿宋_GB2312" w:cs="Times New Roman"/>
          <w:color w:val="000000"/>
          <w:sz w:val="32"/>
          <w:szCs w:val="32"/>
          <w:highlight w:val="none"/>
        </w:rPr>
        <w:t>中应用广泛</w:t>
      </w:r>
      <w:r>
        <w:rPr>
          <w:rFonts w:hint="eastAsia"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auto"/>
          <w:sz w:val="32"/>
          <w:szCs w:val="32"/>
          <w:highlight w:val="none"/>
        </w:rPr>
        <w:t>按标准使用不会对健康造成危害</w:t>
      </w:r>
      <w:r>
        <w:rPr>
          <w:rFonts w:hint="default" w:ascii="Times New Roman" w:hAnsi="Times New Roman" w:eastAsia="仿宋_GB2312" w:cs="Times New Roman"/>
          <w:color w:val="000000"/>
          <w:sz w:val="32"/>
          <w:szCs w:val="32"/>
          <w:highlight w:val="none"/>
        </w:rPr>
        <w:t>。长期</w:t>
      </w:r>
      <w:r>
        <w:rPr>
          <w:rFonts w:hint="eastAsia" w:ascii="Times New Roman" w:hAnsi="Times New Roman" w:eastAsia="仿宋_GB2312" w:cs="Times New Roman"/>
          <w:color w:val="000000"/>
          <w:sz w:val="32"/>
          <w:szCs w:val="32"/>
          <w:highlight w:val="none"/>
          <w:lang w:val="en-US" w:eastAsia="zh-CN"/>
        </w:rPr>
        <w:t>过量食用日落黄</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可能</w:t>
      </w:r>
      <w:r>
        <w:rPr>
          <w:rFonts w:hint="eastAsia" w:ascii="Times New Roman" w:hAnsi="Times New Roman" w:eastAsia="仿宋_GB2312" w:cs="Times New Roman"/>
          <w:color w:val="000000"/>
          <w:sz w:val="32"/>
          <w:szCs w:val="32"/>
          <w:highlight w:val="none"/>
          <w:lang w:val="en-US" w:eastAsia="zh-CN"/>
        </w:rPr>
        <w:t>会</w:t>
      </w:r>
      <w:r>
        <w:rPr>
          <w:rFonts w:hint="eastAsia" w:ascii="Times New Roman" w:hAnsi="Times New Roman" w:eastAsia="仿宋_GB2312" w:cs="Times New Roman"/>
          <w:color w:val="000000"/>
          <w:sz w:val="32"/>
          <w:szCs w:val="32"/>
          <w:highlight w:val="none"/>
          <w:lang w:eastAsia="zh-CN"/>
        </w:rPr>
        <w:t>危害人体健康</w:t>
      </w:r>
      <w:r>
        <w:rPr>
          <w:rFonts w:hint="default" w:ascii="Times New Roman" w:hAnsi="Times New Roman" w:eastAsia="仿宋_GB2312" w:cs="Times New Roman"/>
          <w:color w:val="000000"/>
          <w:sz w:val="32"/>
          <w:szCs w:val="32"/>
          <w:highlight w:val="none"/>
        </w:rPr>
        <w:t>。《食品安全国家标准 食品添加剂使用标准》（GB 2760</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20</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4）中规定，</w:t>
      </w:r>
      <w:r>
        <w:rPr>
          <w:rFonts w:hint="eastAsia" w:ascii="Times New Roman" w:hAnsi="Times New Roman" w:eastAsia="仿宋_GB2312" w:cs="Times New Roman"/>
          <w:color w:val="000000"/>
          <w:sz w:val="32"/>
          <w:szCs w:val="32"/>
          <w:highlight w:val="none"/>
          <w:lang w:val="en-US" w:eastAsia="zh-CN"/>
        </w:rPr>
        <w:t>植物饮料、粉丝粉条、水果干类</w:t>
      </w:r>
      <w:r>
        <w:rPr>
          <w:rFonts w:hint="default" w:ascii="Times New Roman" w:hAnsi="Times New Roman" w:eastAsia="仿宋_GB2312" w:cs="Times New Roman"/>
          <w:kern w:val="2"/>
          <w:sz w:val="32"/>
          <w:szCs w:val="32"/>
          <w:highlight w:val="none"/>
          <w:lang w:val="en-US" w:eastAsia="zh-CN" w:bidi="ar-SA"/>
        </w:rPr>
        <w:t>中</w:t>
      </w:r>
      <w:r>
        <w:rPr>
          <w:rFonts w:hint="eastAsia" w:ascii="Times New Roman" w:hAnsi="Times New Roman" w:eastAsia="仿宋_GB2312" w:cs="Times New Roman"/>
          <w:kern w:val="2"/>
          <w:sz w:val="32"/>
          <w:szCs w:val="32"/>
          <w:highlight w:val="none"/>
          <w:lang w:val="en-US" w:eastAsia="zh-CN" w:bidi="ar-SA"/>
        </w:rPr>
        <w:t>不得使用日落黄</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植物饮料、粉丝粉条、水果干类</w:t>
      </w:r>
      <w:r>
        <w:rPr>
          <w:rFonts w:hint="default" w:ascii="Times New Roman" w:hAnsi="Times New Roman" w:eastAsia="仿宋_GB2312" w:cs="Times New Roman"/>
          <w:color w:val="000000"/>
          <w:sz w:val="32"/>
          <w:szCs w:val="32"/>
          <w:highlight w:val="none"/>
        </w:rPr>
        <w:t>中</w:t>
      </w:r>
      <w:r>
        <w:rPr>
          <w:rFonts w:hint="eastAsia" w:ascii="Times New Roman" w:hAnsi="Times New Roman" w:eastAsia="仿宋_GB2312" w:cs="Times New Roman"/>
          <w:color w:val="000000"/>
          <w:sz w:val="32"/>
          <w:szCs w:val="32"/>
          <w:highlight w:val="none"/>
          <w:lang w:val="en-US" w:eastAsia="zh-CN"/>
        </w:rPr>
        <w:t>检出日落黄</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color w:val="000000"/>
          <w:spacing w:val="0"/>
          <w:sz w:val="32"/>
          <w:szCs w:val="32"/>
          <w:highlight w:val="none"/>
          <w:lang w:eastAsia="zh-CN"/>
        </w:rPr>
        <w:t>原因</w:t>
      </w:r>
      <w:r>
        <w:rPr>
          <w:rFonts w:hint="eastAsia" w:ascii="Times New Roman" w:hAnsi="Times New Roman" w:eastAsia="仿宋_GB2312" w:cs="Times New Roman"/>
          <w:color w:val="000000"/>
          <w:spacing w:val="0"/>
          <w:sz w:val="32"/>
          <w:szCs w:val="32"/>
          <w:highlight w:val="none"/>
          <w:lang w:eastAsia="zh-CN"/>
        </w:rPr>
        <w:t>，</w:t>
      </w:r>
      <w:r>
        <w:rPr>
          <w:rFonts w:ascii="Times New Roman" w:hAnsi="Times New Roman" w:eastAsia="仿宋_GB2312"/>
          <w:color w:val="000000"/>
          <w:spacing w:val="0"/>
          <w:sz w:val="32"/>
          <w:szCs w:val="32"/>
          <w:highlight w:val="none"/>
        </w:rPr>
        <w:t>可能是生产企业为改善产品色泽而</w:t>
      </w:r>
      <w:r>
        <w:rPr>
          <w:rFonts w:hint="eastAsia" w:ascii="Times New Roman" w:hAnsi="Times New Roman" w:eastAsia="仿宋_GB2312"/>
          <w:color w:val="000000"/>
          <w:spacing w:val="0"/>
          <w:sz w:val="32"/>
          <w:szCs w:val="32"/>
          <w:highlight w:val="none"/>
        </w:rPr>
        <w:t>超范围</w:t>
      </w:r>
      <w:r>
        <w:rPr>
          <w:rFonts w:ascii="Times New Roman" w:hAnsi="Times New Roman" w:eastAsia="仿宋_GB2312"/>
          <w:color w:val="000000"/>
          <w:spacing w:val="0"/>
          <w:sz w:val="32"/>
          <w:szCs w:val="32"/>
          <w:highlight w:val="none"/>
        </w:rPr>
        <w:t>使用。</w:t>
      </w:r>
    </w:p>
    <w:p>
      <w:pPr>
        <w:keepNext w:val="0"/>
        <w:keepLines w:val="0"/>
        <w:pageBreakBefore w:val="0"/>
        <w:widowControl w:val="0"/>
        <w:kinsoku/>
        <w:wordWrap/>
        <w:overflowPunct/>
        <w:topLinePunct w:val="0"/>
        <w:autoSpaceDE/>
        <w:autoSpaceDN/>
        <w:bidi w:val="0"/>
        <w:snapToGrid/>
        <w:spacing w:line="594" w:lineRule="exact"/>
        <w:ind w:leftChars="0" w:firstLine="640" w:firstLineChars="200"/>
        <w:textAlignment w:val="auto"/>
        <w:rPr>
          <w:rFonts w:hint="eastAsia" w:ascii="Times New Roman" w:hAnsi="Times New Roman" w:eastAsia="黑体" w:cs="Times New Roman"/>
          <w:color w:val="auto"/>
          <w:spacing w:val="-12"/>
          <w:sz w:val="32"/>
          <w:szCs w:val="32"/>
          <w:highlight w:val="none"/>
        </w:rPr>
      </w:pPr>
      <w:r>
        <w:rPr>
          <w:rFonts w:hint="eastAsia" w:ascii="Times New Roman" w:hAnsi="Times New Roman" w:eastAsia="黑体" w:cs="Times New Roman"/>
          <w:spacing w:val="0"/>
          <w:sz w:val="32"/>
          <w:szCs w:val="32"/>
          <w:lang w:val="en-US" w:eastAsia="zh-CN"/>
        </w:rPr>
        <w:t>二、</w:t>
      </w:r>
      <w:r>
        <w:rPr>
          <w:rFonts w:hint="eastAsia" w:ascii="Times New Roman" w:hAnsi="Times New Roman" w:eastAsia="黑体" w:cs="Times New Roman"/>
          <w:color w:val="auto"/>
          <w:spacing w:val="-12"/>
          <w:sz w:val="32"/>
          <w:szCs w:val="32"/>
          <w:highlight w:val="none"/>
        </w:rPr>
        <w:t>苋菜红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rPr>
          <w:rFonts w:hint="default" w:ascii="Times New Roman" w:hAnsi="Times New Roman" w:eastAsia="黑体" w:cs="Times New Roman"/>
          <w:color w:val="auto"/>
          <w:spacing w:val="-12"/>
          <w:sz w:val="32"/>
          <w:szCs w:val="32"/>
          <w:highlight w:val="none"/>
          <w:lang w:val="en-US" w:eastAsia="zh-CN"/>
        </w:rPr>
      </w:pPr>
      <w:r>
        <w:rPr>
          <w:rFonts w:hint="eastAsia" w:ascii="Times New Roman" w:hAnsi="Times New Roman" w:eastAsia="仿宋_GB2312" w:cs="Times New Roman"/>
          <w:color w:val="auto"/>
          <w:sz w:val="32"/>
          <w:szCs w:val="32"/>
          <w:highlight w:val="none"/>
        </w:rPr>
        <w:t>苋菜红又名食用红色9号，水溶性偶氮类化合物，是常见的人工合成着色剂，在食品生产中应用广泛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按标准使用不会对健康造成危害</w:t>
      </w:r>
      <w:r>
        <w:rPr>
          <w:rFonts w:hint="eastAsia" w:ascii="Times New Roman" w:hAnsi="Times New Roman" w:eastAsia="仿宋_GB2312" w:cs="Times New Roman"/>
          <w:color w:val="auto"/>
          <w:sz w:val="32"/>
          <w:szCs w:val="32"/>
          <w:highlight w:val="none"/>
        </w:rPr>
        <w:t>。如果长期摄入苋菜红超标的食品，</w:t>
      </w:r>
      <w:r>
        <w:rPr>
          <w:rFonts w:hint="eastAsia" w:ascii="Times New Roman" w:hAnsi="Times New Roman" w:eastAsia="仿宋_GB2312" w:cs="Times New Roman"/>
          <w:color w:val="auto"/>
          <w:sz w:val="32"/>
          <w:szCs w:val="32"/>
          <w:highlight w:val="none"/>
          <w:lang w:eastAsia="zh-CN"/>
        </w:rPr>
        <w:t>存在一定健康风险</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中规定，植物饮料、</w:t>
      </w:r>
      <w:r>
        <w:rPr>
          <w:rFonts w:hint="eastAsia" w:ascii="Times New Roman" w:hAnsi="Times New Roman" w:eastAsia="仿宋_GB2312" w:cs="Times New Roman"/>
          <w:color w:val="000000"/>
          <w:sz w:val="32"/>
          <w:szCs w:val="32"/>
          <w:highlight w:val="none"/>
          <w:lang w:val="en-US" w:eastAsia="zh-CN"/>
        </w:rPr>
        <w:t>粉丝粉条、水果干类、面包、巴西莓粉</w:t>
      </w:r>
      <w:r>
        <w:rPr>
          <w:rFonts w:hint="eastAsia" w:ascii="Times New Roman" w:hAnsi="Times New Roman" w:eastAsia="仿宋_GB2312" w:cs="Times New Roman"/>
          <w:color w:val="auto"/>
          <w:sz w:val="32"/>
          <w:szCs w:val="32"/>
          <w:highlight w:val="none"/>
          <w:lang w:val="en-US" w:eastAsia="zh-CN"/>
        </w:rPr>
        <w:t>中不得使用苋菜红。植物饮料、</w:t>
      </w:r>
      <w:r>
        <w:rPr>
          <w:rFonts w:hint="eastAsia" w:ascii="Times New Roman" w:hAnsi="Times New Roman" w:eastAsia="仿宋_GB2312" w:cs="Times New Roman"/>
          <w:color w:val="000000"/>
          <w:sz w:val="32"/>
          <w:szCs w:val="32"/>
          <w:highlight w:val="none"/>
          <w:lang w:val="en-US" w:eastAsia="zh-CN"/>
        </w:rPr>
        <w:t>粉丝粉条、水果干类、面包、巴西莓粉</w:t>
      </w:r>
      <w:r>
        <w:rPr>
          <w:rFonts w:hint="eastAsia" w:ascii="Times New Roman" w:hAnsi="Times New Roman" w:eastAsia="仿宋_GB2312" w:cs="Times New Roman"/>
          <w:color w:val="auto"/>
          <w:sz w:val="32"/>
          <w:szCs w:val="32"/>
          <w:highlight w:val="none"/>
          <w:lang w:val="en-US" w:eastAsia="zh-CN"/>
        </w:rPr>
        <w:t>中检出苋菜红的原因，可能是生产企业为改善产品色泽而超范围使用。</w:t>
      </w:r>
    </w:p>
    <w:p>
      <w:pPr>
        <w:spacing w:line="594" w:lineRule="exact"/>
        <w:ind w:firstLine="592" w:firstLineChars="200"/>
        <w:rPr>
          <w:rFonts w:hint="eastAsia" w:eastAsia="黑体"/>
          <w:spacing w:val="-12"/>
          <w:sz w:val="32"/>
          <w:szCs w:val="32"/>
        </w:rPr>
      </w:pPr>
      <w:r>
        <w:rPr>
          <w:rFonts w:hint="eastAsia" w:ascii="Times New Roman" w:hAnsi="Times New Roman" w:eastAsia="黑体" w:cs="Times New Roman"/>
          <w:color w:val="auto"/>
          <w:spacing w:val="-12"/>
          <w:sz w:val="32"/>
          <w:szCs w:val="32"/>
          <w:highlight w:val="none"/>
          <w:lang w:val="en-US" w:eastAsia="zh-CN"/>
        </w:rPr>
        <w:t>三</w:t>
      </w:r>
      <w:r>
        <w:rPr>
          <w:rFonts w:hint="default" w:ascii="Times New Roman" w:hAnsi="Times New Roman" w:eastAsia="黑体" w:cs="Times New Roman"/>
          <w:color w:val="auto"/>
          <w:spacing w:val="-12"/>
          <w:sz w:val="32"/>
          <w:szCs w:val="32"/>
          <w:highlight w:val="none"/>
        </w:rPr>
        <w:t>、</w:t>
      </w:r>
      <w:r>
        <w:rPr>
          <w:rFonts w:hint="eastAsia" w:eastAsia="黑体"/>
          <w:spacing w:val="-12"/>
          <w:sz w:val="32"/>
          <w:szCs w:val="32"/>
        </w:rPr>
        <w:t>亮蓝</w:t>
      </w:r>
    </w:p>
    <w:p>
      <w:pPr>
        <w:numPr>
          <w:ilvl w:val="0"/>
          <w:numId w:val="0"/>
        </w:numPr>
        <w:adjustRightInd w:val="0"/>
        <w:snapToGrid w:val="0"/>
        <w:spacing w:line="594" w:lineRule="exact"/>
        <w:ind w:firstLine="640"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rPr>
        <w:t>亮蓝，又名食用蓝色2号，属于水溶性非偶氮类合成着色剂，是常见的人工合成着色剂，在食品生产中应用广泛</w:t>
      </w:r>
      <w:r>
        <w:rPr>
          <w:rFonts w:hint="eastAsia"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auto"/>
          <w:sz w:val="32"/>
          <w:szCs w:val="32"/>
          <w:highlight w:val="none"/>
        </w:rPr>
        <w:t>按标准使用不会对健康造成危害</w:t>
      </w:r>
      <w:r>
        <w:rPr>
          <w:rFonts w:hint="default" w:ascii="Times New Roman" w:hAnsi="Times New Roman" w:eastAsia="仿宋_GB2312" w:cs="Times New Roman"/>
          <w:sz w:val="32"/>
          <w:szCs w:val="32"/>
        </w:rPr>
        <w:t>。长期摄入亮蓝超标的食品，</w:t>
      </w:r>
      <w:r>
        <w:rPr>
          <w:rFonts w:hint="eastAsia" w:ascii="Times New Roman" w:hAnsi="Times New Roman" w:eastAsia="仿宋_GB2312" w:cs="Times New Roman"/>
          <w:color w:val="000000"/>
          <w:sz w:val="32"/>
          <w:szCs w:val="32"/>
          <w:highlight w:val="none"/>
          <w:lang w:eastAsia="zh-CN"/>
        </w:rPr>
        <w:t>可能</w:t>
      </w:r>
      <w:r>
        <w:rPr>
          <w:rFonts w:hint="eastAsia" w:ascii="Times New Roman" w:hAnsi="Times New Roman" w:eastAsia="仿宋_GB2312" w:cs="Times New Roman"/>
          <w:color w:val="000000"/>
          <w:sz w:val="32"/>
          <w:szCs w:val="32"/>
          <w:highlight w:val="none"/>
          <w:lang w:val="en-US" w:eastAsia="zh-CN"/>
        </w:rPr>
        <w:t>会</w:t>
      </w:r>
      <w:r>
        <w:rPr>
          <w:rFonts w:hint="eastAsia" w:ascii="Times New Roman" w:hAnsi="Times New Roman" w:eastAsia="仿宋_GB2312" w:cs="Times New Roman"/>
          <w:color w:val="000000"/>
          <w:sz w:val="32"/>
          <w:szCs w:val="32"/>
          <w:highlight w:val="none"/>
          <w:lang w:eastAsia="zh-CN"/>
        </w:rPr>
        <w:t>危害人体健康</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sz w:val="32"/>
          <w:szCs w:val="32"/>
        </w:rPr>
        <w:t>《食品安全国家标准 食品添加剂使用标准》（GB 2760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2024）中规定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highlight w:val="none"/>
          <w:lang w:val="en-US" w:eastAsia="zh-CN"/>
        </w:rPr>
        <w:t>粉丝粉条、水果干类、面包、巴西莓粉</w:t>
      </w:r>
      <w:r>
        <w:rPr>
          <w:rFonts w:hint="default" w:ascii="Times New Roman" w:hAnsi="Times New Roman" w:eastAsia="仿宋_GB2312" w:cs="Times New Roman"/>
          <w:color w:val="auto"/>
          <w:sz w:val="32"/>
          <w:szCs w:val="32"/>
          <w:highlight w:val="none"/>
          <w:lang w:val="en-US" w:eastAsia="zh-CN"/>
        </w:rPr>
        <w:t>中不得使用亮蓝</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highlight w:val="none"/>
          <w:lang w:val="en-US" w:eastAsia="zh-CN"/>
        </w:rPr>
        <w:t>粉丝粉条、水果干类、面包、巴西莓粉</w:t>
      </w:r>
      <w:r>
        <w:rPr>
          <w:rFonts w:hint="default" w:ascii="Times New Roman" w:hAnsi="Times New Roman" w:eastAsia="仿宋_GB2312" w:cs="Times New Roman"/>
          <w:color w:val="auto"/>
          <w:sz w:val="32"/>
          <w:szCs w:val="32"/>
          <w:highlight w:val="none"/>
          <w:lang w:val="en-US" w:eastAsia="zh-CN"/>
        </w:rPr>
        <w:t>中检出亮蓝的原因，</w:t>
      </w:r>
      <w:r>
        <w:rPr>
          <w:rFonts w:hint="default" w:ascii="Times New Roman" w:hAnsi="Times New Roman" w:eastAsia="仿宋_GB2312" w:cs="Times New Roman"/>
          <w:sz w:val="32"/>
          <w:szCs w:val="32"/>
        </w:rPr>
        <w:t>可能是</w:t>
      </w:r>
      <w:r>
        <w:rPr>
          <w:rFonts w:hint="default" w:ascii="Times New Roman" w:hAnsi="Times New Roman" w:eastAsia="仿宋_GB2312" w:cs="Times New Roman"/>
          <w:color w:val="auto"/>
          <w:sz w:val="32"/>
          <w:szCs w:val="32"/>
          <w:highlight w:val="none"/>
          <w:lang w:val="en-US" w:eastAsia="zh-CN"/>
        </w:rPr>
        <w:t>生产企业为改善产品色泽而超范围使用。</w:t>
      </w:r>
    </w:p>
    <w:p>
      <w:pPr>
        <w:adjustRightInd w:val="0"/>
        <w:spacing w:line="594" w:lineRule="exact"/>
        <w:ind w:firstLine="592" w:firstLineChars="200"/>
        <w:rPr>
          <w:rFonts w:hint="eastAsia" w:eastAsia="黑体"/>
          <w:color w:val="auto"/>
          <w:spacing w:val="-12"/>
          <w:sz w:val="32"/>
          <w:szCs w:val="32"/>
          <w:lang w:val="en-US" w:eastAsia="zh-CN"/>
        </w:rPr>
      </w:pPr>
      <w:r>
        <w:rPr>
          <w:rFonts w:hint="eastAsia" w:eastAsia="黑体"/>
          <w:color w:val="auto"/>
          <w:spacing w:val="-12"/>
          <w:sz w:val="32"/>
          <w:szCs w:val="32"/>
          <w:highlight w:val="none"/>
          <w:lang w:val="en-US" w:eastAsia="zh-CN"/>
        </w:rPr>
        <w:t>四</w:t>
      </w:r>
      <w:r>
        <w:rPr>
          <w:rFonts w:hint="default" w:eastAsia="黑体"/>
          <w:color w:val="auto"/>
          <w:spacing w:val="-12"/>
          <w:sz w:val="32"/>
          <w:szCs w:val="32"/>
          <w:highlight w:val="none"/>
          <w:lang w:val="en-US" w:eastAsia="zh-CN"/>
        </w:rPr>
        <w:t>、</w:t>
      </w:r>
      <w:r>
        <w:rPr>
          <w:rFonts w:hint="eastAsia" w:eastAsia="黑体"/>
          <w:color w:val="auto"/>
          <w:spacing w:val="-12"/>
          <w:sz w:val="32"/>
          <w:szCs w:val="32"/>
          <w:lang w:val="en-US" w:eastAsia="zh-CN"/>
        </w:rPr>
        <w:t>柠檬黄</w:t>
      </w:r>
    </w:p>
    <w:p>
      <w:pPr>
        <w:keepNext w:val="0"/>
        <w:keepLines w:val="0"/>
        <w:pageBreakBefore w:val="0"/>
        <w:widowControl/>
        <w:kinsoku/>
        <w:wordWrap/>
        <w:overflowPunct/>
        <w:topLinePunct w:val="0"/>
        <w:autoSpaceDE/>
        <w:autoSpaceDN/>
        <w:bidi w:val="0"/>
        <w:adjustRightInd/>
        <w:snapToGrid/>
        <w:spacing w:line="594" w:lineRule="exact"/>
        <w:ind w:right="0" w:firstLine="640" w:firstLineChars="200"/>
        <w:textAlignment w:val="auto"/>
        <w:rPr>
          <w:rFonts w:hint="default" w:eastAsia="黑体"/>
          <w:color w:val="auto"/>
          <w:spacing w:val="-1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t>柠檬黄又名食用黄色4号，水溶性偶氮类化合物，是常见的人工合成着色剂，在食品生产中应用广泛</w:t>
      </w:r>
      <w:r>
        <w:rPr>
          <w:rFonts w:hint="eastAsia"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auto"/>
          <w:sz w:val="32"/>
          <w:szCs w:val="32"/>
          <w:highlight w:val="none"/>
        </w:rPr>
        <w:t>按标准使用不会对健康造成危害</w:t>
      </w:r>
      <w:bookmarkStart w:id="1" w:name="_GoBack"/>
      <w:bookmarkEnd w:id="1"/>
      <w:r>
        <w:rPr>
          <w:rFonts w:hint="default" w:ascii="Times New Roman" w:hAnsi="Times New Roman" w:eastAsia="仿宋_GB2312" w:cs="Times New Roman"/>
          <w:color w:val="000000"/>
          <w:kern w:val="2"/>
          <w:sz w:val="32"/>
          <w:szCs w:val="32"/>
          <w:highlight w:val="none"/>
          <w:lang w:val="en-US" w:eastAsia="zh-CN" w:bidi="ar-SA"/>
        </w:rPr>
        <w:t>。如果长期摄入柠檬黄超标的食品，可能对人体肝脏等造成损害。《食品安全国家标准 食品添加剂使用标准》（GB 2760</w:t>
      </w:r>
      <w:r>
        <w:rPr>
          <w:rFonts w:hint="eastAsia" w:ascii="仿宋_GB2312" w:hAnsi="仿宋_GB2312" w:eastAsia="仿宋_GB2312" w:cs="仿宋_GB2312"/>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2024）中规定，水果干类</w:t>
      </w:r>
      <w:r>
        <w:rPr>
          <w:rFonts w:hint="default" w:ascii="Times New Roman" w:hAnsi="Times New Roman" w:eastAsia="仿宋_GB2312" w:cs="Times New Roman"/>
          <w:color w:val="000000"/>
          <w:sz w:val="32"/>
          <w:szCs w:val="32"/>
          <w:highlight w:val="none"/>
          <w:lang w:val="en-US" w:eastAsia="zh-CN"/>
        </w:rPr>
        <w:t>中不得使用柠檬黄。水果干类</w:t>
      </w:r>
      <w:r>
        <w:rPr>
          <w:rFonts w:hint="default" w:ascii="Times New Roman" w:hAnsi="Times New Roman" w:eastAsia="仿宋_GB2312" w:cs="Times New Roman"/>
          <w:color w:val="000000"/>
          <w:kern w:val="2"/>
          <w:sz w:val="32"/>
          <w:szCs w:val="32"/>
          <w:highlight w:val="none"/>
          <w:lang w:val="en-US" w:eastAsia="zh-CN" w:bidi="ar-SA"/>
        </w:rPr>
        <w:t>中检出柠檬黄的原因</w:t>
      </w:r>
      <w:r>
        <w:rPr>
          <w:rFonts w:hint="default" w:ascii="Times New Roman" w:hAnsi="Times New Roman" w:eastAsia="仿宋_GB2312" w:cs="Times New Roman"/>
          <w:color w:val="000000"/>
          <w:sz w:val="32"/>
          <w:szCs w:val="32"/>
          <w:highlight w:val="none"/>
          <w:lang w:val="en-US" w:eastAsia="zh-CN"/>
        </w:rPr>
        <w:t>，可能是生产企业为改善产品色泽而超范围使用。</w:t>
      </w:r>
    </w:p>
    <w:p>
      <w:pPr>
        <w:keepNext w:val="0"/>
        <w:keepLines w:val="0"/>
        <w:pageBreakBefore w:val="0"/>
        <w:kinsoku/>
        <w:wordWrap/>
        <w:overflowPunct/>
        <w:topLinePunct w:val="0"/>
        <w:autoSpaceDE/>
        <w:autoSpaceDN/>
        <w:bidi w:val="0"/>
        <w:adjustRightInd/>
        <w:snapToGrid/>
        <w:spacing w:line="594" w:lineRule="exact"/>
        <w:ind w:firstLine="592" w:firstLineChars="200"/>
        <w:textAlignment w:val="auto"/>
        <w:rPr>
          <w:rFonts w:hint="eastAsia" w:ascii="Times New Roman" w:hAnsi="Times New Roman" w:eastAsia="黑体" w:cs="Times New Roman"/>
          <w:color w:val="auto"/>
          <w:spacing w:val="-12"/>
          <w:kern w:val="2"/>
          <w:sz w:val="32"/>
          <w:szCs w:val="32"/>
          <w:highlight w:val="none"/>
          <w:lang w:val="en-US" w:eastAsia="zh-CN" w:bidi="ar-SA"/>
        </w:rPr>
      </w:pPr>
      <w:r>
        <w:rPr>
          <w:rFonts w:hint="eastAsia" w:eastAsia="黑体"/>
          <w:color w:val="auto"/>
          <w:spacing w:val="-12"/>
          <w:sz w:val="32"/>
          <w:szCs w:val="32"/>
          <w:highlight w:val="none"/>
          <w:lang w:val="en-US" w:eastAsia="zh-CN"/>
        </w:rPr>
        <w:t>五、</w:t>
      </w:r>
      <w:r>
        <w:rPr>
          <w:rFonts w:hint="eastAsia" w:ascii="Times New Roman" w:hAnsi="Times New Roman" w:eastAsia="黑体" w:cs="Times New Roman"/>
          <w:color w:val="auto"/>
          <w:spacing w:val="-12"/>
          <w:kern w:val="2"/>
          <w:sz w:val="32"/>
          <w:szCs w:val="32"/>
          <w:highlight w:val="none"/>
          <w:lang w:val="en-US" w:eastAsia="zh-CN" w:bidi="ar-SA"/>
        </w:rPr>
        <w:t>脱氢乙酸及其钠盐（以脱氢乙酸计）</w:t>
      </w:r>
    </w:p>
    <w:p>
      <w:pPr>
        <w:pStyle w:val="9"/>
        <w:spacing w:after="0" w:line="594" w:lineRule="exact"/>
        <w:ind w:firstLine="592"/>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sz w:val="32"/>
          <w:szCs w:val="32"/>
          <w:highlight w:val="none"/>
          <w:lang w:val="en-US" w:eastAsia="zh-CN"/>
        </w:rPr>
        <w:t>脱氢乙酸及其钠盐作为一种广谱食品防腐剂，对霉菌和酵母菌的抑制能力强。脱氢乙酸及其钠盐能被人体完全吸收，并能抑制人体内多种氧化酶，长期过量摄入脱氢乙酸及其钠盐的食品会危害人体健康。</w:t>
      </w:r>
      <w:r>
        <w:rPr>
          <w:rFonts w:hint="eastAsia" w:ascii="Times New Roman" w:hAnsi="Times New Roman" w:eastAsia="仿宋_GB2312" w:cs="Times New Roman"/>
          <w:color w:val="auto"/>
          <w:sz w:val="32"/>
          <w:szCs w:val="32"/>
          <w:highlight w:val="none"/>
          <w:lang w:val="en-US" w:eastAsia="zh-CN"/>
        </w:rPr>
        <w:t>《食品安全国家标准 食品添加剂使用标准》（GB 2760—2024）中规定，糕点、</w:t>
      </w:r>
      <w:r>
        <w:rPr>
          <w:rFonts w:hint="eastAsia" w:ascii="Times New Roman" w:hAnsi="Times New Roman" w:eastAsia="仿宋_GB2312" w:cs="Times New Roman"/>
          <w:spacing w:val="0"/>
          <w:sz w:val="32"/>
          <w:szCs w:val="32"/>
          <w:highlight w:val="none"/>
          <w:lang w:val="en-US" w:eastAsia="zh-CN"/>
        </w:rPr>
        <w:t>小麦粉制品</w:t>
      </w:r>
      <w:r>
        <w:rPr>
          <w:rFonts w:hint="eastAsia" w:ascii="Times New Roman" w:hAnsi="Times New Roman" w:eastAsia="仿宋_GB2312" w:cs="Times New Roman"/>
          <w:color w:val="auto"/>
          <w:sz w:val="32"/>
          <w:szCs w:val="32"/>
          <w:highlight w:val="none"/>
          <w:lang w:val="en-US" w:eastAsia="zh-CN"/>
        </w:rPr>
        <w:t>中不得使用脱氢乙酸及其钠盐（以脱氢乙酸计），</w:t>
      </w:r>
      <w:r>
        <w:rPr>
          <w:rFonts w:hint="eastAsia" w:ascii="Calibri" w:hAnsi="Calibri" w:eastAsia="仿宋_GB2312" w:cs="Times New Roman"/>
          <w:kern w:val="2"/>
          <w:sz w:val="32"/>
          <w:szCs w:val="32"/>
          <w:highlight w:val="none"/>
          <w:lang w:val="en-US" w:eastAsia="zh-CN" w:bidi="ar-SA"/>
        </w:rPr>
        <w:t>腌渍</w:t>
      </w:r>
      <w:r>
        <w:rPr>
          <w:rFonts w:hint="eastAsia" w:eastAsia="仿宋_GB2312" w:cs="Times New Roman"/>
          <w:kern w:val="2"/>
          <w:sz w:val="32"/>
          <w:szCs w:val="32"/>
          <w:highlight w:val="none"/>
          <w:lang w:val="en-US" w:eastAsia="zh-CN" w:bidi="ar-SA"/>
        </w:rPr>
        <w:t>的蔬菜</w:t>
      </w:r>
      <w:r>
        <w:rPr>
          <w:rFonts w:hint="eastAsia" w:ascii="Calibri" w:hAnsi="Calibri" w:eastAsia="仿宋_GB2312" w:cs="Times New Roman"/>
          <w:kern w:val="2"/>
          <w:sz w:val="32"/>
          <w:szCs w:val="32"/>
          <w:highlight w:val="none"/>
          <w:lang w:val="en-US" w:eastAsia="zh-CN" w:bidi="ar-SA"/>
        </w:rPr>
        <w:t>中</w:t>
      </w:r>
      <w:r>
        <w:rPr>
          <w:rFonts w:hint="default" w:ascii="Calibri" w:hAnsi="Calibri" w:eastAsia="仿宋_GB2312" w:cs="Times New Roman"/>
          <w:kern w:val="2"/>
          <w:sz w:val="32"/>
          <w:szCs w:val="32"/>
          <w:highlight w:val="none"/>
          <w:lang w:val="en-US" w:eastAsia="zh-CN" w:bidi="ar-SA"/>
        </w:rPr>
        <w:t>脱氢乙酸及其钠盐（以脱氢乙酸计）最大使用量为</w:t>
      </w:r>
      <w:r>
        <w:rPr>
          <w:rFonts w:hint="default" w:ascii="Times New Roman" w:hAnsi="Times New Roman" w:eastAsia="仿宋_GB2312" w:cs="Times New Roman"/>
          <w:kern w:val="2"/>
          <w:sz w:val="32"/>
          <w:szCs w:val="32"/>
          <w:highlight w:val="none"/>
          <w:lang w:val="en-US" w:eastAsia="zh-CN" w:bidi="ar-SA"/>
        </w:rPr>
        <w:t>0.</w:t>
      </w:r>
      <w:r>
        <w:rPr>
          <w:rFonts w:hint="eastAsia"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g/kg</w:t>
      </w:r>
      <w:r>
        <w:rPr>
          <w:rFonts w:hint="default" w:ascii="Calibri" w:hAnsi="Calibri" w:eastAsia="仿宋_GB2312" w:cs="Times New Roman"/>
          <w:kern w:val="2"/>
          <w:sz w:val="32"/>
          <w:szCs w:val="32"/>
          <w:highlight w:val="none"/>
          <w:lang w:val="en-US" w:eastAsia="zh-CN" w:bidi="ar-SA"/>
        </w:rPr>
        <w:t>。</w:t>
      </w:r>
      <w:r>
        <w:rPr>
          <w:rFonts w:hint="eastAsia" w:ascii="Times New Roman" w:hAnsi="Times New Roman" w:eastAsia="仿宋_GB2312" w:cs="Times New Roman"/>
          <w:color w:val="auto"/>
          <w:sz w:val="32"/>
          <w:szCs w:val="32"/>
          <w:highlight w:val="none"/>
          <w:lang w:val="en-US" w:eastAsia="zh-CN"/>
        </w:rPr>
        <w:t>糕点、糕点（自制）、</w:t>
      </w:r>
      <w:r>
        <w:rPr>
          <w:rFonts w:hint="eastAsia" w:ascii="Times New Roman" w:hAnsi="Times New Roman" w:eastAsia="仿宋_GB2312" w:cs="Times New Roman"/>
          <w:sz w:val="32"/>
          <w:szCs w:val="32"/>
          <w:highlight w:val="none"/>
          <w:lang w:val="en-US" w:eastAsia="zh-CN"/>
        </w:rPr>
        <w:t>手工面条（粮食加工品）、</w:t>
      </w:r>
      <w:r>
        <w:rPr>
          <w:rFonts w:hint="eastAsia" w:ascii="Calibri" w:hAnsi="Calibri" w:eastAsia="仿宋_GB2312" w:cs="Times New Roman"/>
          <w:kern w:val="2"/>
          <w:sz w:val="32"/>
          <w:szCs w:val="32"/>
          <w:highlight w:val="none"/>
          <w:lang w:val="en-US" w:eastAsia="zh-CN" w:bidi="ar-SA"/>
        </w:rPr>
        <w:t>腌渍</w:t>
      </w:r>
      <w:r>
        <w:rPr>
          <w:rFonts w:hint="eastAsia" w:eastAsia="仿宋_GB2312" w:cs="Times New Roman"/>
          <w:kern w:val="2"/>
          <w:sz w:val="32"/>
          <w:szCs w:val="32"/>
          <w:highlight w:val="none"/>
          <w:lang w:val="en-US" w:eastAsia="zh-CN" w:bidi="ar-SA"/>
        </w:rPr>
        <w:t>的蔬菜</w:t>
      </w:r>
      <w:r>
        <w:rPr>
          <w:rFonts w:hint="eastAsia" w:ascii="Times New Roman" w:hAnsi="Times New Roman" w:eastAsia="仿宋_GB2312" w:cs="Times New Roman"/>
          <w:color w:val="auto"/>
          <w:sz w:val="32"/>
          <w:szCs w:val="32"/>
          <w:highlight w:val="none"/>
          <w:lang w:val="en-US" w:eastAsia="zh-CN"/>
        </w:rPr>
        <w:t>中脱氢乙酸及其钠盐（以脱氢乙酸计）检验值超标的原因，</w:t>
      </w:r>
      <w:r>
        <w:rPr>
          <w:rFonts w:hint="default" w:ascii="Times New Roman" w:hAnsi="Times New Roman" w:eastAsia="仿宋_GB2312" w:cs="Times New Roman"/>
          <w:color w:val="auto"/>
          <w:spacing w:val="0"/>
          <w:sz w:val="32"/>
          <w:szCs w:val="32"/>
          <w:highlight w:val="none"/>
        </w:rPr>
        <w:t>可能是生产经营企业为延长产品保质期或者弥补产品生产过程卫生条件不佳而</w:t>
      </w:r>
      <w:r>
        <w:rPr>
          <w:rFonts w:hint="eastAsia" w:ascii="Times New Roman" w:hAnsi="Times New Roman" w:eastAsia="仿宋_GB2312" w:cs="Times New Roman"/>
          <w:color w:val="auto"/>
          <w:spacing w:val="0"/>
          <w:sz w:val="32"/>
          <w:szCs w:val="32"/>
          <w:highlight w:val="none"/>
          <w:lang w:val="en-US" w:eastAsia="zh-CN"/>
        </w:rPr>
        <w:t>超范围超限量</w:t>
      </w:r>
      <w:r>
        <w:rPr>
          <w:rFonts w:hint="default" w:ascii="Times New Roman" w:hAnsi="Times New Roman" w:eastAsia="仿宋_GB2312" w:cs="Times New Roman"/>
          <w:color w:val="auto"/>
          <w:spacing w:val="0"/>
          <w:sz w:val="32"/>
          <w:szCs w:val="32"/>
          <w:highlight w:val="none"/>
        </w:rPr>
        <w:t>使用</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也可能是其使用的复配添加剂中含有该添加剂</w:t>
      </w:r>
      <w:r>
        <w:rPr>
          <w:rFonts w:hint="eastAsia" w:ascii="Times New Roman" w:hAnsi="Times New Roman" w:eastAsia="仿宋_GB2312" w:cs="Times New Roman"/>
          <w:color w:val="auto"/>
          <w:spacing w:val="0"/>
          <w:sz w:val="32"/>
          <w:szCs w:val="32"/>
          <w:highlight w:val="none"/>
          <w:lang w:val="en-US" w:eastAsia="zh-CN"/>
        </w:rPr>
        <w:t>；</w:t>
      </w:r>
      <w:r>
        <w:rPr>
          <w:rFonts w:hint="eastAsia" w:ascii="Calibri" w:hAnsi="Calibri" w:eastAsia="仿宋_GB2312" w:cs="Times New Roman"/>
          <w:kern w:val="2"/>
          <w:sz w:val="32"/>
          <w:szCs w:val="32"/>
          <w:highlight w:val="none"/>
          <w:lang w:val="en-US" w:eastAsia="zh-CN" w:bidi="ar-SA"/>
        </w:rPr>
        <w:t>还</w:t>
      </w:r>
      <w:r>
        <w:rPr>
          <w:rFonts w:hint="default" w:ascii="Calibri" w:hAnsi="Calibri" w:eastAsia="仿宋_GB2312" w:cs="Times New Roman"/>
          <w:kern w:val="2"/>
          <w:sz w:val="32"/>
          <w:szCs w:val="32"/>
          <w:highlight w:val="none"/>
          <w:lang w:val="en-US" w:eastAsia="zh-CN" w:bidi="ar-SA"/>
        </w:rPr>
        <w:t>可能是在添加过程中未准确计量。</w:t>
      </w:r>
    </w:p>
    <w:p>
      <w:pPr>
        <w:numPr>
          <w:ilvl w:val="0"/>
          <w:numId w:val="0"/>
        </w:numPr>
        <w:adjustRightInd w:val="0"/>
        <w:snapToGrid w:val="0"/>
        <w:spacing w:line="594" w:lineRule="exact"/>
        <w:ind w:firstLine="592" w:firstLineChars="200"/>
        <w:rPr>
          <w:rFonts w:hint="eastAsia" w:ascii="Times New Roman" w:hAnsi="Times New Roman" w:eastAsia="黑体" w:cs="Times New Roman"/>
          <w:color w:val="000000"/>
          <w:sz w:val="32"/>
          <w:szCs w:val="32"/>
        </w:rPr>
      </w:pPr>
      <w:r>
        <w:rPr>
          <w:rFonts w:hint="eastAsia" w:eastAsia="黑体"/>
          <w:color w:val="auto"/>
          <w:spacing w:val="-12"/>
          <w:sz w:val="32"/>
          <w:szCs w:val="32"/>
          <w:highlight w:val="none"/>
          <w:lang w:val="en-US" w:eastAsia="zh-CN"/>
        </w:rPr>
        <w:t>六、</w:t>
      </w:r>
      <w:r>
        <w:rPr>
          <w:rFonts w:hint="eastAsia" w:ascii="Times New Roman" w:hAnsi="Times New Roman" w:eastAsia="黑体" w:cs="Times New Roman"/>
          <w:color w:val="000000"/>
          <w:sz w:val="32"/>
          <w:szCs w:val="32"/>
        </w:rPr>
        <w:t>甜蜜素（以环己基氨基磺酸计）</w:t>
      </w:r>
    </w:p>
    <w:p>
      <w:pPr>
        <w:adjustRightInd/>
        <w:spacing w:after="0"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sz w:val="32"/>
          <w:szCs w:val="32"/>
          <w:highlight w:val="none"/>
          <w:lang w:eastAsia="zh-CN"/>
        </w:rPr>
        <w:t>甜蜜素，化学名称为环己基氨基磺酸钠，是食品生产中常用的甜味剂之一，甜度是蔗糖的40—50倍。长期摄入甜蜜素超标的食品，可能危害</w:t>
      </w:r>
      <w:r>
        <w:rPr>
          <w:rFonts w:hint="eastAsia" w:ascii="Times New Roman" w:hAnsi="Times New Roman" w:eastAsia="仿宋_GB2312" w:cs="Times New Roman"/>
          <w:sz w:val="32"/>
          <w:szCs w:val="32"/>
          <w:highlight w:val="none"/>
          <w:lang w:val="en-US" w:eastAsia="zh-CN"/>
        </w:rPr>
        <w:t>人体健康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eastAsia" w:ascii="Times New Roman" w:hAnsi="Times New Roman" w:eastAsia="仿宋_GB2312" w:cs="Times New Roman"/>
          <w:sz w:val="32"/>
          <w:szCs w:val="32"/>
          <w:highlight w:val="none"/>
          <w:lang w:eastAsia="zh-CN"/>
        </w:rPr>
        <w:t>中规定，</w:t>
      </w:r>
      <w:r>
        <w:rPr>
          <w:rFonts w:hint="eastAsia" w:ascii="Times New Roman" w:hAnsi="Times New Roman" w:eastAsia="仿宋_GB2312" w:cs="Times New Roman"/>
          <w:spacing w:val="0"/>
          <w:sz w:val="32"/>
          <w:szCs w:val="32"/>
          <w:highlight w:val="none"/>
          <w:lang w:val="en-US" w:eastAsia="zh-CN"/>
        </w:rPr>
        <w:t>巴西莓粉</w:t>
      </w:r>
      <w:r>
        <w:rPr>
          <w:rFonts w:ascii="Times New Roman" w:hAnsi="Times New Roman" w:eastAsia="仿宋_GB2312" w:cs="Times New Roman"/>
          <w:sz w:val="32"/>
          <w:szCs w:val="32"/>
          <w:highlight w:val="none"/>
        </w:rPr>
        <w:t>中不</w:t>
      </w:r>
      <w:r>
        <w:rPr>
          <w:rFonts w:hint="eastAsia" w:ascii="Times New Roman" w:hAnsi="Times New Roman" w:eastAsia="仿宋_GB2312" w:cs="Times New Roman"/>
          <w:sz w:val="32"/>
          <w:szCs w:val="32"/>
          <w:highlight w:val="none"/>
        </w:rPr>
        <w:t>得</w:t>
      </w:r>
      <w:r>
        <w:rPr>
          <w:rFonts w:ascii="Times New Roman" w:hAnsi="Times New Roman" w:eastAsia="仿宋_GB2312" w:cs="Times New Roman"/>
          <w:sz w:val="32"/>
          <w:szCs w:val="32"/>
          <w:highlight w:val="none"/>
        </w:rPr>
        <w:t>使用甜蜜素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pacing w:val="0"/>
          <w:sz w:val="32"/>
          <w:szCs w:val="32"/>
          <w:highlight w:val="none"/>
          <w:lang w:val="en-US" w:eastAsia="zh-CN"/>
        </w:rPr>
        <w:t>巴西莓粉</w:t>
      </w:r>
      <w:r>
        <w:rPr>
          <w:rFonts w:hint="eastAsia" w:ascii="Times New Roman" w:hAnsi="Times New Roman" w:eastAsia="仿宋_GB2312" w:cs="Times New Roman"/>
          <w:sz w:val="32"/>
          <w:szCs w:val="32"/>
          <w:highlight w:val="none"/>
        </w:rPr>
        <w:t>中</w:t>
      </w:r>
      <w:r>
        <w:rPr>
          <w:rFonts w:hint="eastAsia" w:ascii="Times New Roman" w:hAnsi="Times New Roman" w:eastAsia="仿宋_GB2312" w:cs="Times New Roman"/>
          <w:sz w:val="32"/>
          <w:szCs w:val="32"/>
          <w:highlight w:val="none"/>
          <w:lang w:eastAsia="zh-CN"/>
        </w:rPr>
        <w:t>检出</w:t>
      </w:r>
      <w:r>
        <w:rPr>
          <w:rFonts w:hint="eastAsia" w:ascii="Calibri" w:hAnsi="Calibri" w:eastAsia="仿宋_GB2312" w:cs="Times New Roman"/>
          <w:sz w:val="32"/>
          <w:szCs w:val="32"/>
          <w:highlight w:val="none"/>
          <w:lang w:val="en-US" w:eastAsia="zh-CN"/>
        </w:rPr>
        <w:t>甜蜜素（以环己基氨基磺酸计）</w:t>
      </w:r>
      <w:r>
        <w:rPr>
          <w:rFonts w:hint="eastAsia" w:ascii="Times New Roman" w:hAnsi="Times New Roman" w:eastAsia="仿宋_GB2312" w:cs="Times New Roman"/>
          <w:sz w:val="32"/>
          <w:szCs w:val="32"/>
          <w:highlight w:val="none"/>
        </w:rPr>
        <w:t>的原因，可能是生产</w:t>
      </w:r>
      <w:r>
        <w:rPr>
          <w:rFonts w:hint="eastAsia" w:ascii="Calibri" w:hAnsi="Calibri" w:eastAsia="仿宋_GB2312" w:cs="Times New Roman"/>
          <w:sz w:val="32"/>
          <w:szCs w:val="32"/>
          <w:highlight w:val="none"/>
          <w:lang w:val="en-US" w:eastAsia="zh-CN"/>
        </w:rPr>
        <w:t>经营者为</w:t>
      </w:r>
      <w:r>
        <w:rPr>
          <w:rFonts w:hint="eastAsia" w:ascii="Times New Roman" w:hAnsi="Times New Roman" w:eastAsia="仿宋_GB2312" w:cs="Times New Roman"/>
          <w:sz w:val="32"/>
          <w:szCs w:val="32"/>
          <w:highlight w:val="none"/>
          <w:lang w:eastAsia="zh-CN"/>
        </w:rPr>
        <w:t>改善口感</w:t>
      </w:r>
      <w:r>
        <w:rPr>
          <w:rFonts w:hint="eastAsia" w:ascii="Times New Roman" w:hAnsi="Times New Roman" w:eastAsia="仿宋_GB2312" w:cs="Times New Roman"/>
          <w:sz w:val="32"/>
          <w:szCs w:val="32"/>
          <w:highlight w:val="none"/>
          <w:lang w:val="en-US" w:eastAsia="zh-CN"/>
        </w:rPr>
        <w:t>超范围使用</w:t>
      </w:r>
      <w:r>
        <w:rPr>
          <w:rFonts w:hint="eastAsia" w:ascii="Calibri" w:hAnsi="Calibri" w:eastAsia="仿宋_GB2312" w:cs="Times New Roman"/>
          <w:kern w:val="0"/>
          <w:sz w:val="32"/>
          <w:szCs w:val="32"/>
          <w:highlight w:val="none"/>
          <w:lang w:val="en-US" w:eastAsia="zh-CN"/>
        </w:rPr>
        <w:t>。</w:t>
      </w:r>
    </w:p>
    <w:p>
      <w:pPr>
        <w:spacing w:line="594" w:lineRule="exact"/>
        <w:ind w:firstLine="640" w:firstLineChars="200"/>
        <w:rPr>
          <w:rFonts w:hint="default" w:eastAsia="黑体"/>
          <w:spacing w:val="-12"/>
          <w:sz w:val="32"/>
          <w:szCs w:val="32"/>
          <w:highlight w:val="none"/>
          <w:lang w:val="en-US" w:eastAsia="zh-CN"/>
        </w:rPr>
      </w:pPr>
      <w:r>
        <w:rPr>
          <w:rFonts w:hint="eastAsia" w:ascii="黑体" w:hAnsi="黑体" w:eastAsia="黑体" w:cs="黑体"/>
          <w:color w:val="auto"/>
          <w:spacing w:val="0"/>
          <w:sz w:val="32"/>
          <w:szCs w:val="32"/>
          <w:highlight w:val="none"/>
          <w:lang w:val="en-US" w:eastAsia="zh-CN"/>
        </w:rPr>
        <w:t>七、</w:t>
      </w:r>
      <w:r>
        <w:rPr>
          <w:rFonts w:hint="eastAsia" w:eastAsia="黑体"/>
          <w:spacing w:val="-12"/>
          <w:sz w:val="32"/>
          <w:szCs w:val="32"/>
          <w:highlight w:val="none"/>
          <w:lang w:val="en-US" w:eastAsia="zh-CN"/>
        </w:rPr>
        <w:t>二氧化硫残留量</w:t>
      </w:r>
    </w:p>
    <w:p>
      <w:pPr>
        <w:pStyle w:val="9"/>
        <w:numPr>
          <w:ilvl w:val="0"/>
          <w:numId w:val="0"/>
        </w:numPr>
        <w:adjustRightInd w:val="0"/>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rPr>
        <w:t>二氧化硫是食品加工中常用的漂白剂和防腐剂，具有漂白、防腐和抗氧化作用。少量二氧化硫进入人体不会对身体造成健康危害，但过量食用会引起如恶心、呕吐等胃肠道反应。</w:t>
      </w:r>
      <w:r>
        <w:rPr>
          <w:rFonts w:hint="eastAsia" w:ascii="Times New Roman" w:hAnsi="Times New Roman" w:eastAsia="仿宋_GB2312" w:cs="Times New Roman"/>
          <w:sz w:val="32"/>
          <w:szCs w:val="32"/>
          <w:lang w:val="en-US" w:eastAsia="zh-CN"/>
        </w:rPr>
        <w:t>《食品安全国家标准 食品添加剂使用标准》（GB 2760—2024）</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color w:val="auto"/>
          <w:sz w:val="32"/>
          <w:szCs w:val="32"/>
          <w:lang w:val="en-US" w:eastAsia="zh-CN"/>
        </w:rPr>
        <w:t>香辛料及粉（八角除外）中不得使用二氧化硫</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sz w:val="32"/>
          <w:szCs w:val="32"/>
          <w:lang w:val="en-US" w:eastAsia="zh-CN"/>
        </w:rPr>
        <w:t>红糖中二氧化硫的最大使</w:t>
      </w:r>
      <w:r>
        <w:rPr>
          <w:rFonts w:hint="eastAsia" w:ascii="Times New Roman" w:hAnsi="Times New Roman" w:eastAsia="仿宋_GB2312" w:cs="Times New Roman"/>
          <w:sz w:val="32"/>
          <w:szCs w:val="32"/>
          <w:highlight w:val="none"/>
          <w:lang w:val="en-US" w:eastAsia="zh-CN"/>
        </w:rPr>
        <w:t>用量</w:t>
      </w:r>
      <w:r>
        <w:rPr>
          <w:rFonts w:hint="eastAsia" w:ascii="Times New Roman" w:hAnsi="Times New Roman" w:eastAsia="仿宋_GB2312" w:cs="Times New Roman"/>
          <w:kern w:val="2"/>
          <w:sz w:val="32"/>
          <w:szCs w:val="32"/>
          <w:highlight w:val="none"/>
          <w:lang w:val="en-US" w:eastAsia="zh-CN" w:bidi="ar-SA"/>
        </w:rPr>
        <w:t>为0.03g/kg，</w:t>
      </w:r>
      <w:r>
        <w:rPr>
          <w:rFonts w:hint="eastAsia" w:ascii="Times New Roman" w:hAnsi="Times New Roman" w:eastAsia="仿宋_GB2312" w:cs="Times New Roman"/>
          <w:spacing w:val="0"/>
          <w:sz w:val="32"/>
          <w:szCs w:val="32"/>
          <w:highlight w:val="none"/>
          <w:lang w:val="en-US" w:eastAsia="zh-CN"/>
        </w:rPr>
        <w:t>干制蔬菜中二氧化硫最大使用量为0.2g/kg，蜜饯中二氧化硫最大使用量为0.35g/kg。</w:t>
      </w:r>
      <w:r>
        <w:rPr>
          <w:rFonts w:hint="default" w:ascii="Times New Roman" w:hAnsi="Times New Roman" w:eastAsia="仿宋_GB2312" w:cs="Times New Roman"/>
          <w:color w:val="auto"/>
          <w:sz w:val="32"/>
          <w:szCs w:val="32"/>
          <w:lang w:val="en-US" w:eastAsia="zh-CN"/>
        </w:rPr>
        <w:t>香辛料及粉</w:t>
      </w:r>
      <w:r>
        <w:rPr>
          <w:rFonts w:hint="eastAsia" w:ascii="Times New Roman" w:hAnsi="Times New Roman" w:eastAsia="仿宋_GB2312" w:cs="Times New Roman"/>
          <w:color w:val="auto"/>
          <w:sz w:val="32"/>
          <w:szCs w:val="32"/>
          <w:lang w:val="en-US" w:eastAsia="zh-CN"/>
        </w:rPr>
        <w:t>、红糖、干制蔬菜、蜜饯</w:t>
      </w:r>
      <w:r>
        <w:rPr>
          <w:rFonts w:hint="default" w:ascii="Times New Roman" w:hAnsi="Times New Roman" w:eastAsia="仿宋_GB2312" w:cs="Times New Roman"/>
          <w:color w:val="auto"/>
          <w:sz w:val="32"/>
          <w:szCs w:val="32"/>
          <w:lang w:val="en-US" w:eastAsia="zh-CN"/>
        </w:rPr>
        <w:t>中二氧化硫残留量超标的原因，可能是生产企业为改善产品色泽而超范围</w:t>
      </w:r>
      <w:r>
        <w:rPr>
          <w:rFonts w:hint="eastAsia" w:ascii="Times New Roman" w:hAnsi="Times New Roman" w:eastAsia="仿宋_GB2312" w:cs="Times New Roman"/>
          <w:color w:val="auto"/>
          <w:sz w:val="32"/>
          <w:szCs w:val="32"/>
          <w:lang w:val="en-US" w:eastAsia="zh-CN"/>
        </w:rPr>
        <w:t>超限量</w:t>
      </w:r>
      <w:r>
        <w:rPr>
          <w:rFonts w:hint="default" w:ascii="Times New Roman" w:hAnsi="Times New Roman" w:eastAsia="仿宋_GB2312" w:cs="Times New Roman"/>
          <w:color w:val="auto"/>
          <w:sz w:val="32"/>
          <w:szCs w:val="32"/>
          <w:lang w:val="en-US" w:eastAsia="zh-CN"/>
        </w:rPr>
        <w:t>使用二氧化硫</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2"/>
          <w:sz w:val="32"/>
          <w:szCs w:val="32"/>
          <w:highlight w:val="none"/>
          <w:lang w:val="en-US" w:eastAsia="zh-CN" w:bidi="ar-SA"/>
        </w:rPr>
        <w:t>也可能是使用时不计量或计量不准确；还可能是由于使用硫磺熏蒸漂白传统工艺或直接使用亚硫酸盐浸泡保鲜所造成</w:t>
      </w:r>
      <w:r>
        <w:rPr>
          <w:rFonts w:hint="default" w:ascii="Times New Roman" w:hAnsi="Times New Roman" w:eastAsia="仿宋_GB2312" w:cs="Times New Roman"/>
          <w:kern w:val="2"/>
          <w:sz w:val="32"/>
          <w:szCs w:val="32"/>
          <w:highlight w:val="none"/>
          <w:lang w:val="en-US" w:eastAsia="zh-CN" w:bidi="ar-SA"/>
        </w:rPr>
        <w:t>。</w:t>
      </w:r>
    </w:p>
    <w:p>
      <w:pPr>
        <w:spacing w:line="594" w:lineRule="exact"/>
        <w:ind w:firstLine="640" w:firstLineChars="200"/>
        <w:rPr>
          <w:rFonts w:hint="default" w:eastAsia="黑体"/>
          <w:spacing w:val="0"/>
          <w:sz w:val="32"/>
          <w:szCs w:val="32"/>
          <w:lang w:val="en-US" w:eastAsia="zh-CN"/>
        </w:rPr>
      </w:pPr>
      <w:r>
        <w:rPr>
          <w:rFonts w:hint="default" w:ascii="Times New Roman" w:hAnsi="Times New Roman" w:eastAsia="黑体" w:cs="Times New Roman"/>
          <w:color w:val="auto"/>
          <w:sz w:val="32"/>
          <w:szCs w:val="32"/>
          <w:highlight w:val="none"/>
          <w:lang w:val="en-US" w:eastAsia="zh-CN"/>
        </w:rPr>
        <w:t>八、</w:t>
      </w:r>
      <w:r>
        <w:rPr>
          <w:rFonts w:hint="eastAsia" w:eastAsia="黑体"/>
          <w:spacing w:val="0"/>
          <w:sz w:val="32"/>
          <w:szCs w:val="32"/>
          <w:lang w:val="en-US" w:eastAsia="zh-CN"/>
        </w:rPr>
        <w:t>山梨酸及其钾盐（以山梨酸计）</w:t>
      </w:r>
    </w:p>
    <w:p>
      <w:pPr>
        <w:widowControl/>
        <w:adjustRightInd/>
        <w:spacing w:after="0" w:line="594" w:lineRule="exact"/>
        <w:ind w:firstLine="640" w:firstLineChars="200"/>
        <w:rPr>
          <w:rFonts w:hint="eastAsia" w:ascii="仿宋_GB2312" w:hAnsi="仿宋_GB2312" w:eastAsia="仿宋_GB2312" w:cs="仿宋_GB2312"/>
          <w:color w:val="auto"/>
          <w:spacing w:val="0"/>
          <w:sz w:val="32"/>
          <w:szCs w:val="32"/>
          <w:highlight w:val="none"/>
          <w:lang w:val="en-US" w:eastAsia="zh-CN" w:bidi="ar"/>
        </w:rPr>
      </w:pPr>
      <w:r>
        <w:rPr>
          <w:rFonts w:hint="eastAsia" w:ascii="Times New Roman" w:hAnsi="Times New Roman" w:eastAsia="仿宋_GB2312" w:cs="Times New Roman"/>
          <w:spacing w:val="0"/>
          <w:sz w:val="32"/>
          <w:szCs w:val="32"/>
          <w:lang w:val="en-US" w:eastAsia="zh-CN"/>
        </w:rPr>
        <w:t>山梨酸及其钾盐抗菌性强，防腐效果好，是目前应用非常广泛的食品防腐剂。长期食用山梨酸及其钾盐超标的食品，可能对肝脏、肾脏、骨骼生长造成危害。</w:t>
      </w:r>
      <w:r>
        <w:rPr>
          <w:rFonts w:hint="default" w:ascii="Times New Roman" w:hAnsi="Times New Roman" w:eastAsia="仿宋_GB2312" w:cs="Times New Roman"/>
          <w:spacing w:val="0"/>
          <w:sz w:val="32"/>
          <w:szCs w:val="32"/>
        </w:rPr>
        <w:t>《食品安全国家标准 食品添加剂使用标准》（GB 2760</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20</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4）中规定，</w:t>
      </w:r>
      <w:r>
        <w:rPr>
          <w:rFonts w:hint="eastAsia" w:ascii="Times New Roman" w:hAnsi="Times New Roman" w:eastAsia="仿宋_GB2312" w:cs="Times New Roman"/>
          <w:spacing w:val="0"/>
          <w:sz w:val="32"/>
          <w:szCs w:val="32"/>
          <w:lang w:val="en-US" w:eastAsia="zh-CN"/>
        </w:rPr>
        <w:t>熟制坚果与籽类食品中不得使用山梨酸及其钾盐（以山梨酸计），</w:t>
      </w:r>
      <w:r>
        <w:rPr>
          <w:rFonts w:hint="eastAsia" w:ascii="Times New Roman" w:hAnsi="Times New Roman" w:eastAsia="仿宋_GB2312" w:cs="Times New Roman"/>
          <w:color w:val="auto"/>
          <w:spacing w:val="0"/>
          <w:sz w:val="32"/>
          <w:szCs w:val="32"/>
          <w:highlight w:val="none"/>
          <w:lang w:val="en-US" w:eastAsia="zh-CN"/>
        </w:rPr>
        <w:t>糕点、</w:t>
      </w:r>
      <w:r>
        <w:rPr>
          <w:rFonts w:hint="eastAsia" w:ascii="Times New Roman" w:hAnsi="Times New Roman" w:eastAsia="仿宋_GB2312" w:cs="Times New Roman"/>
          <w:spacing w:val="0"/>
          <w:sz w:val="32"/>
          <w:szCs w:val="32"/>
          <w:highlight w:val="none"/>
          <w:lang w:val="en-US" w:eastAsia="zh-CN"/>
        </w:rPr>
        <w:t>腌渍的蔬菜</w:t>
      </w:r>
      <w:r>
        <w:rPr>
          <w:rFonts w:hint="eastAsia" w:ascii="Times New Roman" w:hAnsi="Times New Roman" w:eastAsia="仿宋_GB2312" w:cs="Times New Roman"/>
          <w:color w:val="auto"/>
          <w:spacing w:val="0"/>
          <w:sz w:val="32"/>
          <w:szCs w:val="32"/>
          <w:highlight w:val="none"/>
          <w:lang w:val="en-US" w:eastAsia="zh-CN"/>
        </w:rPr>
        <w:t>中山梨酸及其钾盐（以山梨酸计）的最大使用量为1.0g/kg</w:t>
      </w:r>
      <w:r>
        <w:rPr>
          <w:rFonts w:hint="eastAsia" w:ascii="Times New Roman" w:hAnsi="Times New Roman" w:eastAsia="仿宋_GB2312" w:cs="Times New Roman"/>
          <w:spacing w:val="0"/>
          <w:sz w:val="32"/>
          <w:szCs w:val="32"/>
          <w:lang w:val="en-US" w:eastAsia="zh-CN"/>
        </w:rPr>
        <w:t>。熟制坚果与籽类食品、糕点、</w:t>
      </w:r>
      <w:r>
        <w:rPr>
          <w:rFonts w:hint="eastAsia" w:ascii="Times New Roman" w:hAnsi="Times New Roman" w:eastAsia="仿宋_GB2312" w:cs="Times New Roman"/>
          <w:spacing w:val="0"/>
          <w:sz w:val="32"/>
          <w:szCs w:val="32"/>
          <w:highlight w:val="none"/>
          <w:lang w:val="en-US" w:eastAsia="zh-CN"/>
        </w:rPr>
        <w:t>腌渍的蔬菜</w:t>
      </w:r>
      <w:r>
        <w:rPr>
          <w:rFonts w:hint="eastAsia" w:ascii="Times New Roman" w:hAnsi="Times New Roman" w:eastAsia="仿宋_GB2312" w:cs="Times New Roman"/>
          <w:spacing w:val="0"/>
          <w:sz w:val="32"/>
          <w:szCs w:val="32"/>
          <w:lang w:val="en-US" w:eastAsia="zh-CN"/>
        </w:rPr>
        <w:t>中山梨酸及其钾盐（以山梨酸计）检验值超标</w:t>
      </w:r>
      <w:r>
        <w:rPr>
          <w:rFonts w:hint="default" w:ascii="Times New Roman" w:hAnsi="Times New Roman" w:eastAsia="仿宋_GB2312" w:cs="Times New Roman"/>
          <w:spacing w:val="0"/>
          <w:sz w:val="32"/>
          <w:szCs w:val="32"/>
        </w:rPr>
        <w:t>的原因，可能是生产经营企业为延长产品保质期或者弥补产品生产过程卫生条件不佳而超</w:t>
      </w:r>
      <w:r>
        <w:rPr>
          <w:rFonts w:hint="eastAsia" w:ascii="Times New Roman" w:hAnsi="Times New Roman" w:eastAsia="仿宋_GB2312" w:cs="Times New Roman"/>
          <w:spacing w:val="0"/>
          <w:sz w:val="32"/>
          <w:szCs w:val="32"/>
          <w:lang w:val="en-US" w:eastAsia="zh-CN"/>
        </w:rPr>
        <w:t>范围超限量</w:t>
      </w:r>
      <w:r>
        <w:rPr>
          <w:rFonts w:hint="default" w:ascii="Times New Roman" w:hAnsi="Times New Roman" w:eastAsia="仿宋_GB2312" w:cs="Times New Roman"/>
          <w:spacing w:val="0"/>
          <w:sz w:val="32"/>
          <w:szCs w:val="32"/>
        </w:rPr>
        <w:t>使用</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highlight w:val="none"/>
        </w:rPr>
        <w:t>也可能是在使用过程中未准确计量。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572" w:firstLineChars="200"/>
        <w:jc w:val="both"/>
        <w:textAlignment w:val="auto"/>
        <w:rPr>
          <w:rFonts w:hint="eastAsia" w:ascii="方正黑体_GBK" w:hAnsi="方正黑体_GBK" w:eastAsia="方正黑体_GBK" w:cs="方正黑体_GBK"/>
          <w:color w:val="000000"/>
          <w:sz w:val="32"/>
          <w:szCs w:val="32"/>
          <w:highlight w:val="none"/>
          <w:lang w:eastAsia="zh-CN"/>
        </w:rPr>
      </w:pPr>
      <w:r>
        <w:rPr>
          <w:rFonts w:hint="eastAsia" w:ascii="黑体" w:hAnsi="黑体" w:eastAsia="黑体" w:cs="黑体"/>
          <w:color w:val="auto"/>
          <w:spacing w:val="-17"/>
          <w:sz w:val="32"/>
          <w:szCs w:val="32"/>
          <w:highlight w:val="none"/>
          <w:lang w:val="en-US" w:eastAsia="zh-CN"/>
        </w:rPr>
        <w:t>九、</w:t>
      </w:r>
      <w:r>
        <w:rPr>
          <w:rFonts w:hint="eastAsia" w:ascii="黑体" w:hAnsi="黑体" w:eastAsia="黑体" w:cs="黑体"/>
          <w:color w:val="000000"/>
          <w:sz w:val="32"/>
          <w:szCs w:val="32"/>
          <w:highlight w:val="none"/>
          <w:lang w:eastAsia="zh-CN"/>
        </w:rPr>
        <w:t>苯甲酸及其钠盐（以苯甲酸计）</w:t>
      </w:r>
    </w:p>
    <w:p>
      <w:pPr>
        <w:widowControl/>
        <w:numPr>
          <w:ilvl w:val="0"/>
          <w:numId w:val="0"/>
        </w:numPr>
        <w:overflowPunct/>
        <w:adjustRightInd/>
        <w:spacing w:line="594" w:lineRule="exact"/>
        <w:ind w:firstLine="640" w:firstLineChars="200"/>
        <w:rPr>
          <w:rFonts w:hint="eastAsia" w:ascii="黑体" w:hAnsi="黑体" w:eastAsia="黑体" w:cs="黑体"/>
          <w:color w:val="auto"/>
          <w:spacing w:val="0"/>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苯甲酸及其钠盐（以苯甲酸计）是食品工业中常用的一种防腐剂，对霉菌、酵母和细菌有较好的抑制作用。长期食用苯甲酸及其钠盐超标的食品，可能导致肝脏积累性中毒，危害肝脏健康。《食品安全国家标准 食品添加剂使用标准》（GB 2760</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sz w:val="32"/>
          <w:szCs w:val="32"/>
          <w:highlight w:val="none"/>
          <w:lang w:val="en-US" w:eastAsia="zh-CN"/>
        </w:rPr>
        <w:t>2024）中规定，花生制品中不得使用苯甲酸及其钠盐（以苯甲酸计），</w:t>
      </w:r>
      <w:r>
        <w:rPr>
          <w:rFonts w:hint="eastAsia" w:ascii="Times New Roman" w:hAnsi="Times New Roman" w:eastAsia="仿宋_GB2312" w:cs="Times New Roman"/>
          <w:spacing w:val="0"/>
          <w:sz w:val="32"/>
          <w:szCs w:val="32"/>
          <w:highlight w:val="none"/>
          <w:lang w:val="en-US" w:eastAsia="zh-CN"/>
        </w:rPr>
        <w:t>腌渍的蔬菜中苯甲酸及其钠盐（以苯甲酸计）最大使用量为1.0g/kg</w:t>
      </w:r>
      <w:r>
        <w:rPr>
          <w:rFonts w:hint="eastAsia" w:ascii="Times New Roman" w:hAnsi="Times New Roman" w:eastAsia="仿宋_GB2312" w:cs="Times New Roman"/>
          <w:sz w:val="32"/>
          <w:szCs w:val="32"/>
          <w:highlight w:val="none"/>
          <w:lang w:val="en-US" w:eastAsia="zh-CN"/>
        </w:rPr>
        <w:t>。花生制品（自制）、</w:t>
      </w:r>
      <w:r>
        <w:rPr>
          <w:rFonts w:hint="eastAsia" w:ascii="Times New Roman" w:hAnsi="Times New Roman" w:eastAsia="仿宋_GB2312" w:cs="Times New Roman"/>
          <w:spacing w:val="0"/>
          <w:sz w:val="32"/>
          <w:szCs w:val="32"/>
          <w:highlight w:val="none"/>
          <w:lang w:val="en-US" w:eastAsia="zh-CN"/>
        </w:rPr>
        <w:t>腌渍的蔬菜</w:t>
      </w:r>
      <w:r>
        <w:rPr>
          <w:rFonts w:hint="eastAsia" w:ascii="Times New Roman" w:hAnsi="Times New Roman" w:eastAsia="仿宋_GB2312" w:cs="Times New Roman"/>
          <w:sz w:val="32"/>
          <w:szCs w:val="32"/>
          <w:highlight w:val="none"/>
          <w:lang w:val="en-US" w:eastAsia="zh-CN"/>
        </w:rPr>
        <w:t>中苯甲酸及其钠盐（以苯甲酸计）检验值超标的原因，可能是经营者为延长产品保质期或者弥补产品加工过程卫生条件不佳而超范围超限量使用；</w:t>
      </w:r>
      <w:r>
        <w:rPr>
          <w:rFonts w:hint="eastAsia" w:ascii="Times New Roman" w:hAnsi="Times New Roman" w:eastAsia="仿宋_GB2312" w:cs="Times New Roman"/>
          <w:spacing w:val="0"/>
          <w:sz w:val="32"/>
          <w:szCs w:val="32"/>
          <w:highlight w:val="none"/>
        </w:rPr>
        <w:t>也可能是在使用过程中未准确计量</w:t>
      </w:r>
      <w:r>
        <w:rPr>
          <w:rFonts w:hint="eastAsia" w:ascii="Times New Roman" w:hAnsi="Times New Roman" w:eastAsia="仿宋_GB2312" w:cs="Times New Roman"/>
          <w:sz w:val="32"/>
          <w:szCs w:val="32"/>
          <w:highlight w:val="none"/>
          <w:lang w:val="en-US" w:eastAsia="zh-CN"/>
        </w:rPr>
        <w:t>。</w:t>
      </w:r>
    </w:p>
    <w:p>
      <w:pPr>
        <w:pStyle w:val="9"/>
        <w:keepNext w:val="0"/>
        <w:keepLines w:val="0"/>
        <w:pageBreakBefore w:val="0"/>
        <w:widowControl w:val="0"/>
        <w:numPr>
          <w:ilvl w:val="0"/>
          <w:numId w:val="0"/>
        </w:numPr>
        <w:kinsoku/>
        <w:wordWrap/>
        <w:overflowPunct/>
        <w:topLinePunct w:val="0"/>
        <w:autoSpaceDN/>
        <w:bidi w:val="0"/>
        <w:spacing w:after="0" w:line="594" w:lineRule="exact"/>
        <w:ind w:leftChars="0" w:firstLine="640" w:firstLineChars="200"/>
        <w:textAlignment w:val="auto"/>
        <w:rPr>
          <w:rFonts w:hint="eastAsia" w:ascii="黑体" w:hAnsi="黑体" w:eastAsia="黑体" w:cs="黑体"/>
          <w:szCs w:val="32"/>
          <w:highlight w:val="none"/>
          <w:lang w:eastAsia="zh-CN"/>
        </w:rPr>
      </w:pPr>
      <w:r>
        <w:rPr>
          <w:rFonts w:hint="eastAsia" w:ascii="Times New Roman" w:hAnsi="Times New Roman" w:eastAsia="黑体" w:cs="Times New Roman"/>
          <w:color w:val="auto"/>
          <w:spacing w:val="0"/>
          <w:sz w:val="32"/>
          <w:szCs w:val="32"/>
          <w:highlight w:val="none"/>
          <w:lang w:val="en-US" w:eastAsia="zh-CN"/>
        </w:rPr>
        <w:t>十、</w:t>
      </w:r>
      <w:r>
        <w:rPr>
          <w:rFonts w:hint="default" w:ascii="Times New Roman" w:hAnsi="Times New Roman" w:eastAsia="黑体" w:cs="Times New Roman"/>
          <w:color w:val="000000" w:themeColor="text1"/>
          <w:sz w:val="32"/>
          <w:szCs w:val="32"/>
          <w:highlight w:val="none"/>
          <w14:textFill>
            <w14:solidFill>
              <w14:schemeClr w14:val="tx1"/>
            </w14:solidFill>
          </w14:textFill>
        </w:rPr>
        <w:t>亚硝酸盐（以亚硝酸钠计）</w:t>
      </w:r>
    </w:p>
    <w:p>
      <w:pPr>
        <w:autoSpaceDE w:val="0"/>
        <w:spacing w:line="594" w:lineRule="exact"/>
        <w:ind w:firstLine="640" w:firstLineChars="200"/>
        <w:rPr>
          <w:rFonts w:hint="eastAsia"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sz w:val="32"/>
          <w:szCs w:val="32"/>
        </w:rPr>
        <w:t>亚硝酸盐广泛存在于环境中，是自然界中最普遍的含氮化合物。亚硝酸盐可导致高铁血红蛋白症，还能够与蛋白质分解产物在酸性条件下发生反应，产生亚硝胺类致癌物</w:t>
      </w:r>
      <w:r>
        <w:rPr>
          <w:rFonts w:hint="eastAsia" w:ascii="Times New Roman" w:hAnsi="Times New Roman" w:eastAsia="仿宋_GB2312"/>
          <w:sz w:val="32"/>
          <w:szCs w:val="32"/>
          <w:lang w:eastAsia="zh-CN"/>
        </w:rPr>
        <w:t>，会对人体健康产生危害。</w:t>
      </w:r>
      <w:r>
        <w:rPr>
          <w:rFonts w:ascii="Times New Roman" w:hAnsi="Times New Roman" w:eastAsia="仿宋_GB2312"/>
          <w:sz w:val="32"/>
          <w:szCs w:val="32"/>
          <w:highlight w:val="none"/>
        </w:rPr>
        <w:t>《食品安全国家标准</w:t>
      </w:r>
      <w:r>
        <w:rPr>
          <w:rFonts w:hint="eastAsia" w:ascii="Times New Roman" w:hAnsi="Times New Roman" w:eastAsia="仿宋_GB2312"/>
          <w:sz w:val="32"/>
          <w:szCs w:val="32"/>
          <w:highlight w:val="none"/>
        </w:rPr>
        <w:t xml:space="preserve"> </w:t>
      </w:r>
      <w:r>
        <w:rPr>
          <w:rFonts w:ascii="Times New Roman" w:hAnsi="Times New Roman" w:eastAsia="仿宋_GB2312"/>
          <w:sz w:val="32"/>
          <w:szCs w:val="32"/>
          <w:highlight w:val="none"/>
        </w:rPr>
        <w:t>食品添加剂使用标准》（GB 2760</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20</w:t>
      </w:r>
      <w:r>
        <w:rPr>
          <w:rFonts w:hint="eastAsia" w:ascii="Times New Roman" w:hAnsi="Times New Roman" w:eastAsia="仿宋_GB2312"/>
          <w:sz w:val="32"/>
          <w:szCs w:val="32"/>
          <w:highlight w:val="none"/>
          <w:lang w:val="en-US" w:eastAsia="zh-CN"/>
        </w:rPr>
        <w:t>2</w:t>
      </w:r>
      <w:r>
        <w:rPr>
          <w:rFonts w:ascii="Times New Roman" w:hAnsi="Times New Roman" w:eastAsia="仿宋_GB2312"/>
          <w:sz w:val="32"/>
          <w:szCs w:val="32"/>
          <w:highlight w:val="none"/>
        </w:rPr>
        <w:t>4）中规定，</w:t>
      </w:r>
      <w:r>
        <w:rPr>
          <w:rFonts w:hint="eastAsia" w:ascii="Times New Roman" w:hAnsi="Times New Roman" w:eastAsia="仿宋_GB2312"/>
          <w:sz w:val="32"/>
          <w:szCs w:val="32"/>
          <w:highlight w:val="none"/>
          <w:lang w:val="en-US" w:eastAsia="zh-CN"/>
        </w:rPr>
        <w:t>酱卤肉制品</w:t>
      </w:r>
      <w:r>
        <w:rPr>
          <w:rFonts w:hint="eastAsia" w:ascii="Times New Roman" w:hAnsi="Times New Roman" w:eastAsia="仿宋_GB2312"/>
          <w:sz w:val="32"/>
          <w:szCs w:val="32"/>
          <w:highlight w:val="none"/>
          <w:lang w:eastAsia="zh-CN"/>
        </w:rPr>
        <w:t>中</w:t>
      </w:r>
      <w:r>
        <w:rPr>
          <w:rFonts w:hint="eastAsia" w:eastAsia="仿宋_GB2312"/>
          <w:sz w:val="32"/>
          <w:szCs w:val="32"/>
          <w:highlight w:val="none"/>
        </w:rPr>
        <w:t>亚硝酸盐</w:t>
      </w:r>
      <w:r>
        <w:rPr>
          <w:rFonts w:hint="eastAsia" w:ascii="Times New Roman" w:hAnsi="Times New Roman" w:eastAsia="仿宋_GB2312"/>
          <w:sz w:val="32"/>
          <w:szCs w:val="32"/>
          <w:highlight w:val="none"/>
        </w:rPr>
        <w:t>（以亚硝酸钠计）</w:t>
      </w:r>
      <w:r>
        <w:rPr>
          <w:rFonts w:hint="eastAsia" w:ascii="Times New Roman" w:hAnsi="Times New Roman" w:eastAsia="仿宋_GB2312"/>
          <w:sz w:val="32"/>
          <w:szCs w:val="32"/>
          <w:highlight w:val="none"/>
          <w:lang w:val="en-US" w:eastAsia="zh-CN"/>
        </w:rPr>
        <w:t>最大</w:t>
      </w:r>
      <w:r>
        <w:rPr>
          <w:rFonts w:hint="eastAsia" w:ascii="Times New Roman" w:hAnsi="Times New Roman" w:eastAsia="仿宋_GB2312"/>
          <w:sz w:val="32"/>
          <w:szCs w:val="32"/>
          <w:highlight w:val="none"/>
        </w:rPr>
        <w:t>残留量</w:t>
      </w:r>
      <w:r>
        <w:rPr>
          <w:rFonts w:hint="eastAsia" w:ascii="Times New Roman" w:hAnsi="Times New Roman" w:eastAsia="仿宋_GB2312"/>
          <w:sz w:val="32"/>
          <w:szCs w:val="32"/>
          <w:highlight w:val="none"/>
          <w:lang w:val="en-US" w:eastAsia="zh-CN"/>
        </w:rPr>
        <w:t>为</w:t>
      </w:r>
      <w:r>
        <w:rPr>
          <w:rFonts w:hint="eastAsia" w:ascii="Times New Roman" w:hAnsi="Times New Roman" w:eastAsia="仿宋_GB2312"/>
          <w:sz w:val="32"/>
          <w:szCs w:val="32"/>
          <w:highlight w:val="none"/>
        </w:rPr>
        <w:t>30mg/kg</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酱卤肉制品</w:t>
      </w:r>
      <w:r>
        <w:rPr>
          <w:rFonts w:hint="eastAsia" w:eastAsia="仿宋_GB2312"/>
          <w:sz w:val="32"/>
          <w:szCs w:val="32"/>
        </w:rPr>
        <w:t>中</w:t>
      </w:r>
      <w:r>
        <w:rPr>
          <w:rFonts w:hint="eastAsia" w:ascii="Times New Roman" w:hAnsi="Times New Roman" w:eastAsia="仿宋_GB2312"/>
          <w:sz w:val="32"/>
          <w:szCs w:val="32"/>
        </w:rPr>
        <w:t>亚硝酸盐（以亚硝酸钠计）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值</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超标的原因</w:t>
      </w:r>
      <w:r>
        <w:rPr>
          <w:rFonts w:ascii="Times New Roman" w:hAnsi="Times New Roman" w:eastAsia="仿宋_GB2312"/>
          <w:sz w:val="32"/>
          <w:szCs w:val="32"/>
        </w:rPr>
        <w:t>，可能是企业为</w:t>
      </w:r>
      <w:r>
        <w:rPr>
          <w:rFonts w:hint="eastAsia" w:ascii="Times New Roman" w:hAnsi="Times New Roman" w:eastAsia="仿宋_GB2312"/>
          <w:sz w:val="32"/>
          <w:szCs w:val="32"/>
          <w:lang w:val="en-US" w:eastAsia="zh-CN"/>
        </w:rPr>
        <w:t>使产品呈现良好的色泽、</w:t>
      </w:r>
      <w:r>
        <w:rPr>
          <w:rFonts w:hint="eastAsia" w:ascii="Times New Roman" w:hAnsi="Times New Roman" w:eastAsia="仿宋_GB2312"/>
          <w:sz w:val="32"/>
          <w:szCs w:val="32"/>
        </w:rPr>
        <w:t>延长</w:t>
      </w:r>
      <w:r>
        <w:rPr>
          <w:rFonts w:ascii="Times New Roman" w:hAnsi="Times New Roman" w:eastAsia="仿宋_GB2312"/>
          <w:sz w:val="32"/>
          <w:szCs w:val="32"/>
        </w:rPr>
        <w:t>产品保质期或者弥补产品生产过程</w:t>
      </w:r>
      <w:r>
        <w:rPr>
          <w:rFonts w:hint="eastAsia" w:ascii="Times New Roman" w:hAnsi="Times New Roman" w:eastAsia="仿宋_GB2312"/>
          <w:sz w:val="32"/>
          <w:szCs w:val="32"/>
        </w:rPr>
        <w:t>中</w:t>
      </w:r>
      <w:r>
        <w:rPr>
          <w:rFonts w:ascii="Times New Roman" w:hAnsi="Times New Roman" w:eastAsia="仿宋_GB2312"/>
          <w:sz w:val="32"/>
          <w:szCs w:val="32"/>
        </w:rPr>
        <w:t>卫生条件不佳</w:t>
      </w:r>
      <w:r>
        <w:rPr>
          <w:rFonts w:hint="eastAsia" w:ascii="Times New Roman" w:hAnsi="Times New Roman" w:eastAsia="仿宋_GB2312"/>
          <w:sz w:val="32"/>
          <w:szCs w:val="32"/>
        </w:rPr>
        <w:t>而超限量使用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也可能是在使用过程中未准确计量。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11"/>
          <w:sz w:val="32"/>
          <w:szCs w:val="32"/>
          <w:highlight w:val="none"/>
          <w:lang w:val="en-US" w:eastAsia="zh-CN"/>
        </w:rPr>
        <w:t>一、</w:t>
      </w:r>
      <w:r>
        <w:rPr>
          <w:rFonts w:hint="eastAsia" w:ascii="Times New Roman" w:hAnsi="Times New Roman" w:eastAsia="黑体" w:cs="Times New Roman"/>
          <w:color w:val="000000" w:themeColor="text1"/>
          <w:spacing w:val="-17"/>
          <w:sz w:val="32"/>
          <w:szCs w:val="32"/>
          <w:highlight w:val="none"/>
          <w:lang w:eastAsia="zh-CN"/>
          <w14:textFill>
            <w14:solidFill>
              <w14:schemeClr w14:val="tx1"/>
            </w14:solidFill>
          </w14:textFill>
        </w:rPr>
        <w:t>防腐剂混合使用时各自用量占其最大使用量的比例之和</w:t>
      </w:r>
    </w:p>
    <w:p>
      <w:pPr>
        <w:pStyle w:val="9"/>
        <w:autoSpaceDE/>
        <w:spacing w:after="0"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pacing w:val="0"/>
          <w:sz w:val="32"/>
          <w:szCs w:val="32"/>
          <w:highlight w:val="none"/>
        </w:rPr>
        <w:t>防腐剂是常见的食品添加剂，用于延缓或抑制由微生物引起的食品腐败变质。长期食用防腐剂超标的食品会对人体健康造成损害。</w:t>
      </w:r>
      <w:r>
        <w:rPr>
          <w:rFonts w:hint="eastAsia" w:ascii="Times New Roman" w:hAnsi="Times New Roman" w:eastAsia="仿宋_GB2312" w:cs="Times New Roman"/>
          <w:sz w:val="32"/>
          <w:szCs w:val="32"/>
          <w:highlight w:val="none"/>
          <w:shd w:val="clear" w:color="auto" w:fill="FFFFFF"/>
          <w:lang w:val="en-US" w:eastAsia="zh-CN"/>
        </w:rPr>
        <w:t>《食品安全国家标准 食品添加剂使用标准》（GB 2760—2024）</w:t>
      </w:r>
      <w:r>
        <w:rPr>
          <w:rFonts w:hint="eastAsia" w:ascii="Times New Roman" w:hAnsi="Times New Roman" w:eastAsia="仿宋_GB2312" w:cs="Times New Roman"/>
          <w:spacing w:val="0"/>
          <w:sz w:val="32"/>
          <w:szCs w:val="32"/>
          <w:highlight w:val="none"/>
          <w:lang w:val="en-US" w:eastAsia="zh-CN"/>
        </w:rPr>
        <w:t>中规定</w:t>
      </w:r>
      <w:r>
        <w:rPr>
          <w:rFonts w:hint="default" w:ascii="Times New Roman" w:hAnsi="Times New Roman" w:eastAsia="仿宋_GB2312" w:cs="Times New Roman"/>
          <w:spacing w:val="0"/>
          <w:sz w:val="32"/>
          <w:szCs w:val="32"/>
          <w:highlight w:val="none"/>
        </w:rPr>
        <w:t>，防腐剂在混合使用时各自用量占其最大使用量的比例之和不应超过1。</w:t>
      </w:r>
      <w:r>
        <w:rPr>
          <w:rFonts w:hint="eastAsia" w:ascii="Calibri" w:hAnsi="Calibri" w:eastAsia="仿宋_GB2312" w:cs="Times New Roman"/>
          <w:kern w:val="2"/>
          <w:sz w:val="32"/>
          <w:szCs w:val="32"/>
          <w:highlight w:val="none"/>
          <w:lang w:val="en-US" w:eastAsia="zh-CN" w:bidi="ar-SA"/>
        </w:rPr>
        <w:t>腌渍</w:t>
      </w:r>
      <w:r>
        <w:rPr>
          <w:rFonts w:hint="eastAsia" w:ascii="Times New Roman" w:hAnsi="Times New Roman" w:eastAsia="仿宋_GB2312" w:cs="Times New Roman"/>
          <w:spacing w:val="0"/>
          <w:sz w:val="32"/>
          <w:szCs w:val="32"/>
          <w:highlight w:val="none"/>
          <w:lang w:val="en-US" w:eastAsia="zh-CN"/>
        </w:rPr>
        <w:t>的蔬菜</w:t>
      </w:r>
      <w:r>
        <w:rPr>
          <w:rFonts w:hint="default" w:ascii="Times New Roman" w:hAnsi="Times New Roman" w:eastAsia="仿宋_GB2312" w:cs="Times New Roman"/>
          <w:spacing w:val="0"/>
          <w:sz w:val="32"/>
          <w:szCs w:val="32"/>
          <w:highlight w:val="none"/>
        </w:rPr>
        <w:t>中防腐剂混合使用时各自用量占其最大使用量的比例之和</w:t>
      </w:r>
      <w:r>
        <w:rPr>
          <w:rFonts w:hint="eastAsia" w:ascii="Times New Roman" w:hAnsi="Times New Roman" w:eastAsia="仿宋_GB2312" w:cs="Times New Roman"/>
          <w:spacing w:val="0"/>
          <w:sz w:val="32"/>
          <w:szCs w:val="32"/>
          <w:highlight w:val="none"/>
          <w:lang w:val="en-US" w:eastAsia="zh-CN"/>
        </w:rPr>
        <w:t>超标</w:t>
      </w:r>
      <w:r>
        <w:rPr>
          <w:rFonts w:hint="default" w:ascii="Times New Roman" w:hAnsi="Times New Roman" w:eastAsia="仿宋_GB2312" w:cs="Times New Roman"/>
          <w:spacing w:val="0"/>
          <w:sz w:val="32"/>
          <w:szCs w:val="32"/>
          <w:highlight w:val="none"/>
        </w:rPr>
        <w:t>的原因，可能是生产企业在生产加工过程中未严格控制各防腐剂的用量。</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color w:val="auto"/>
          <w:spacing w:val="-12"/>
          <w:sz w:val="32"/>
          <w:szCs w:val="32"/>
          <w:lang w:val="en-US" w:eastAsia="zh-CN"/>
        </w:rPr>
      </w:pPr>
      <w:r>
        <w:rPr>
          <w:rFonts w:hint="default" w:ascii="Times New Roman" w:hAnsi="Times New Roman" w:eastAsia="黑体" w:cs="Times New Roman"/>
          <w:color w:val="auto"/>
          <w:spacing w:val="-12"/>
          <w:kern w:val="2"/>
          <w:sz w:val="32"/>
          <w:szCs w:val="32"/>
          <w:highlight w:val="none"/>
          <w:lang w:val="en-US" w:eastAsia="zh-CN" w:bidi="ar-SA"/>
        </w:rPr>
        <w:t>十二、</w:t>
      </w:r>
      <w:r>
        <w:rPr>
          <w:rFonts w:hint="default" w:ascii="Times New Roman" w:hAnsi="Times New Roman" w:eastAsia="黑体" w:cs="Times New Roman"/>
          <w:color w:val="auto"/>
          <w:spacing w:val="-12"/>
          <w:sz w:val="32"/>
          <w:szCs w:val="32"/>
          <w:lang w:val="en-US" w:eastAsia="zh-CN"/>
        </w:rPr>
        <w:t>铝的残留量（以即食海蜇中Al计）</w:t>
      </w:r>
    </w:p>
    <w:p>
      <w:pPr>
        <w:pStyle w:val="9"/>
        <w:spacing w:after="0" w:line="594" w:lineRule="exact"/>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可能会导致运动和学习记忆能力下降。《食品安全国家标准 食品添加剂使用标准》（GB 2760</w:t>
      </w:r>
      <w:r>
        <w:rPr>
          <w:rFonts w:hint="eastAsia" w:ascii="仿宋_GB2312" w:hAnsi="仿宋_GB2312" w:eastAsia="仿宋_GB2312" w:cs="仿宋_GB2312"/>
          <w:sz w:val="32"/>
          <w:szCs w:val="32"/>
          <w:highlight w:val="none"/>
          <w:shd w:val="clear" w:fill="FFFFFF"/>
          <w:lang w:val="en-US" w:eastAsia="zh-CN"/>
        </w:rPr>
        <w:t>—</w:t>
      </w:r>
      <w:r>
        <w:rPr>
          <w:rFonts w:hint="default" w:ascii="Times New Roman" w:hAnsi="Times New Roman" w:eastAsia="仿宋_GB2312" w:cs="Times New Roman"/>
          <w:lang w:val="en-US" w:eastAsia="zh-CN"/>
        </w:rPr>
        <w:t>2024）中规定，即食海蜇中铝的残留量（以即食海蜇中Al计）最大限量值为500mg/kg。即食海蜇中铝的残留量（以即食海蜇中Al计）超标的原因，可能是企业在生产加工过程中未控制好含铝食品添加剂的使用量</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也可能是其使用的复配食品添加剂中铝含量过高。</w:t>
      </w:r>
    </w:p>
    <w:p>
      <w:pPr>
        <w:spacing w:line="594" w:lineRule="exact"/>
        <w:ind w:firstLine="640" w:firstLineChars="200"/>
        <w:jc w:val="both"/>
        <w:rPr>
          <w:rFonts w:hint="eastAsia" w:ascii="Times New Roman" w:hAnsi="Times New Roman" w:eastAsia="黑体" w:cs="Times New Roman"/>
          <w:spacing w:val="0"/>
          <w:sz w:val="32"/>
          <w:szCs w:val="32"/>
          <w:highlight w:val="yellow"/>
          <w:lang w:val="en-US" w:eastAsia="zh-CN"/>
        </w:rPr>
      </w:pPr>
      <w:r>
        <w:rPr>
          <w:rFonts w:hint="eastAsia" w:ascii="黑体" w:hAnsi="黑体" w:eastAsia="黑体" w:cs="黑体"/>
          <w:color w:val="auto"/>
          <w:spacing w:val="0"/>
          <w:sz w:val="32"/>
          <w:szCs w:val="32"/>
          <w:highlight w:val="none"/>
          <w:lang w:val="en-US" w:eastAsia="zh-CN"/>
        </w:rPr>
        <w:t>十三、</w:t>
      </w:r>
      <w:r>
        <w:rPr>
          <w:rFonts w:hint="eastAsia" w:ascii="Times New Roman" w:hAnsi="Times New Roman" w:eastAsia="黑体" w:cs="Times New Roman"/>
          <w:spacing w:val="0"/>
          <w:sz w:val="32"/>
          <w:szCs w:val="32"/>
          <w:highlight w:val="none"/>
          <w:lang w:val="en-US" w:eastAsia="zh-CN"/>
        </w:rPr>
        <w:t>霉菌</w:t>
      </w:r>
    </w:p>
    <w:p>
      <w:pPr>
        <w:adjustRightInd/>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pacing w:val="0"/>
          <w:sz w:val="32"/>
          <w:szCs w:val="32"/>
          <w:lang w:val="en-US" w:eastAsia="zh-CN"/>
        </w:rPr>
        <w:t>霉菌是评价食品质量安全的一项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z w:val="32"/>
          <w:szCs w:val="32"/>
        </w:rPr>
        <w:t>《食品安全国家标准 坚果与籽类食品》（GB 19300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2014）中规定，</w:t>
      </w:r>
      <w:r>
        <w:rPr>
          <w:rFonts w:hint="eastAsia" w:ascii="Times New Roman" w:hAnsi="Times New Roman" w:eastAsia="仿宋_GB2312" w:cs="Times New Roman"/>
          <w:spacing w:val="0"/>
          <w:sz w:val="32"/>
          <w:szCs w:val="32"/>
          <w:lang w:val="en-US" w:eastAsia="zh-CN"/>
        </w:rPr>
        <w:t>烘炒工艺加工的熟制坚果与籽类食品中霉菌最大</w:t>
      </w:r>
      <w:r>
        <w:rPr>
          <w:rFonts w:hint="eastAsia" w:ascii="Times New Roman" w:hAnsi="Times New Roman" w:eastAsia="仿宋_GB2312" w:cs="Times New Roman"/>
          <w:sz w:val="32"/>
          <w:szCs w:val="32"/>
          <w:lang w:val="en-US" w:eastAsia="zh-CN"/>
        </w:rPr>
        <w:t>限量值为25CFU/g</w:t>
      </w:r>
      <w:r>
        <w:rPr>
          <w:rFonts w:hint="default" w:ascii="Times New Roman" w:hAnsi="Times New Roman" w:eastAsia="仿宋_GB2312" w:cs="Times New Roman"/>
          <w:sz w:val="32"/>
          <w:szCs w:val="32"/>
        </w:rPr>
        <w:t>。</w:t>
      </w:r>
      <w:r>
        <w:rPr>
          <w:rFonts w:hint="eastAsia" w:ascii="Times New Roman" w:hAnsi="Times New Roman" w:eastAsia="仿宋_GB2312" w:cs="Times New Roman"/>
          <w:spacing w:val="0"/>
          <w:sz w:val="32"/>
          <w:szCs w:val="32"/>
          <w:lang w:val="en-US" w:eastAsia="zh-CN"/>
        </w:rPr>
        <w:t>葵花籽中</w:t>
      </w:r>
      <w:r>
        <w:rPr>
          <w:rFonts w:hint="default" w:ascii="Times New Roman" w:hAnsi="Times New Roman" w:eastAsia="仿宋_GB2312" w:cs="Times New Roman"/>
          <w:spacing w:val="0"/>
          <w:sz w:val="32"/>
          <w:szCs w:val="32"/>
          <w:lang w:val="en-US" w:eastAsia="zh-CN"/>
        </w:rPr>
        <w:t>霉菌数超标的原因，可能是生产企业所使用的原辅料受到霉菌污染；也可能是生产加工过程中卫生条件控制不到位；还可能与产品包装密封不严、储运条件控制不当等有关</w:t>
      </w:r>
      <w:r>
        <w:rPr>
          <w:rFonts w:hint="default" w:ascii="Times New Roman" w:hAnsi="Times New Roman" w:eastAsia="仿宋_GB2312" w:cs="Times New Roman"/>
          <w:color w:val="auto"/>
          <w:sz w:val="32"/>
          <w:szCs w:val="32"/>
          <w:lang w:val="en-US" w:eastAsia="zh-CN"/>
        </w:rPr>
        <w:t>。</w:t>
      </w:r>
    </w:p>
    <w:p>
      <w:pPr>
        <w:pStyle w:val="9"/>
        <w:keepNext w:val="0"/>
        <w:keepLines w:val="0"/>
        <w:pageBreakBefore w:val="0"/>
        <w:widowControl w:val="0"/>
        <w:kinsoku/>
        <w:wordWrap/>
        <w:overflowPunct/>
        <w:topLinePunct w:val="0"/>
        <w:bidi w:val="0"/>
        <w:adjustRightInd/>
        <w:snapToGrid/>
        <w:spacing w:after="0" w:line="594" w:lineRule="exact"/>
        <w:ind w:firstLine="0"/>
        <w:jc w:val="both"/>
        <w:textAlignment w:val="auto"/>
        <w:rPr>
          <w:rFonts w:hint="default" w:ascii="Times New Roman" w:hAnsi="Times New Roman" w:eastAsia="黑体" w:cs="Times New Roman"/>
          <w:szCs w:val="32"/>
          <w:highlight w:val="none"/>
          <w:lang w:val="en-US" w:eastAsia="zh-CN"/>
        </w:rPr>
      </w:pPr>
      <w:r>
        <w:rPr>
          <w:rFonts w:hint="eastAsia" w:ascii="Times New Roman" w:hAnsi="Times New Roman" w:eastAsia="黑体" w:cs="Times New Roman"/>
          <w:color w:val="auto"/>
          <w:spacing w:val="-17"/>
          <w:sz w:val="32"/>
          <w:szCs w:val="32"/>
          <w:highlight w:val="none"/>
          <w:lang w:val="en-US" w:eastAsia="zh-CN"/>
        </w:rPr>
        <w:t>十四</w:t>
      </w:r>
      <w:r>
        <w:rPr>
          <w:rFonts w:hint="default" w:ascii="Times New Roman" w:hAnsi="Times New Roman" w:eastAsia="黑体" w:cs="Times New Roman"/>
          <w:color w:val="auto"/>
          <w:spacing w:val="-17"/>
          <w:sz w:val="32"/>
          <w:szCs w:val="32"/>
          <w:highlight w:val="none"/>
        </w:rPr>
        <w:t>、</w:t>
      </w:r>
      <w:r>
        <w:rPr>
          <w:rFonts w:hint="default" w:ascii="Times New Roman" w:hAnsi="Times New Roman" w:eastAsia="黑体" w:cs="Times New Roman"/>
          <w:szCs w:val="32"/>
          <w:highlight w:val="none"/>
          <w:lang w:eastAsia="zh-CN"/>
        </w:rPr>
        <w:t>大肠菌群</w:t>
      </w:r>
    </w:p>
    <w:p>
      <w:pPr>
        <w:widowControl/>
        <w:numPr>
          <w:ilvl w:val="-1"/>
          <w:numId w:val="0"/>
        </w:numPr>
        <w:adjustRightInd w:val="0"/>
        <w:snapToGrid w:val="0"/>
        <w:spacing w:after="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kern w:val="2"/>
          <w:sz w:val="32"/>
          <w:szCs w:val="32"/>
          <w:lang w:val="en-US" w:eastAsia="zh-CN" w:bidi="ar-SA"/>
        </w:rPr>
        <w:t>大肠菌群是国内外常用的卫生指示菌之一</w:t>
      </w:r>
      <w:r>
        <w:rPr>
          <w:rFonts w:hint="eastAsia" w:ascii="Times New Roman" w:hAnsi="Times New Roman" w:eastAsia="仿宋_GB2312" w:cs="Times New Roman"/>
          <w:kern w:val="2"/>
          <w:sz w:val="32"/>
          <w:szCs w:val="32"/>
          <w:lang w:val="en-US" w:eastAsia="zh-CN" w:bidi="ar-SA"/>
        </w:rPr>
        <w:t>，用于</w:t>
      </w:r>
      <w:r>
        <w:rPr>
          <w:rFonts w:hint="default" w:ascii="Times New Roman" w:hAnsi="Times New Roman" w:eastAsia="仿宋_GB2312" w:cs="Times New Roman"/>
          <w:kern w:val="2"/>
          <w:sz w:val="32"/>
          <w:szCs w:val="32"/>
          <w:lang w:val="en-US" w:eastAsia="zh-CN" w:bidi="ar-SA"/>
        </w:rPr>
        <w:t>表明食品是否直接或间接受到人与温血动物粪便污染，从而推断食品受到肠道致病菌污染的可能性。大肠菌群</w:t>
      </w:r>
      <w:r>
        <w:rPr>
          <w:rFonts w:hint="eastAsia" w:ascii="Times New Roman" w:hAnsi="Times New Roman" w:eastAsia="仿宋_GB2312" w:cs="Times New Roman"/>
          <w:kern w:val="2"/>
          <w:sz w:val="32"/>
          <w:szCs w:val="32"/>
          <w:lang w:val="en-US" w:eastAsia="zh-CN" w:bidi="ar-SA"/>
        </w:rPr>
        <w:t>检验结果</w:t>
      </w:r>
      <w:r>
        <w:rPr>
          <w:rFonts w:hint="default" w:ascii="Times New Roman" w:hAnsi="Times New Roman" w:eastAsia="仿宋_GB2312" w:cs="Times New Roman"/>
          <w:kern w:val="2"/>
          <w:sz w:val="32"/>
          <w:szCs w:val="32"/>
          <w:lang w:val="en-US" w:eastAsia="zh-CN" w:bidi="ar-SA"/>
        </w:rPr>
        <w:t>高，提示该食品卫生质量差，对人体健康具有潜在的间接风险。《食品安全国家标准 乳粉和调制乳粉》</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GB 19644</w:t>
      </w:r>
      <w:r>
        <w:rPr>
          <w:rFonts w:hint="eastAsia" w:ascii="Times New Roman" w:hAnsi="Times New Roman" w:eastAsia="仿宋_GB2312" w:cs="Times New Roman"/>
          <w:sz w:val="32"/>
          <w:szCs w:val="32"/>
          <w:shd w:val="clear" w:fill="FFFFFF"/>
          <w:lang w:val="en-US" w:eastAsia="zh-CN"/>
        </w:rPr>
        <w:t>—</w:t>
      </w:r>
      <w:r>
        <w:rPr>
          <w:rFonts w:hint="default" w:ascii="Times New Roman" w:hAnsi="Times New Roman" w:eastAsia="仿宋_GB2312" w:cs="Times New Roman"/>
          <w:kern w:val="2"/>
          <w:sz w:val="32"/>
          <w:szCs w:val="32"/>
          <w:lang w:val="en-US" w:eastAsia="zh-CN" w:bidi="ar-SA"/>
        </w:rPr>
        <w:t>2024</w:t>
      </w:r>
      <w:r>
        <w:rPr>
          <w:rFonts w:hint="eastAsia" w:ascii="Times New Roman" w:hAnsi="Times New Roman" w:eastAsia="仿宋_GB2312" w:cs="Times New Roman"/>
          <w:kern w:val="2"/>
          <w:sz w:val="32"/>
          <w:szCs w:val="32"/>
          <w:lang w:val="en-US" w:eastAsia="zh-CN" w:bidi="ar-SA"/>
        </w:rPr>
        <w:t>）中规定，乳粉中同一批次产品5个样品的大肠菌群检验结果均不得超过100CFU/g，且最多允许1个样品的检验结果超过10CFU/g。乳粉</w:t>
      </w:r>
      <w:r>
        <w:rPr>
          <w:rFonts w:ascii="Times New Roman" w:hAnsi="Times New Roman" w:eastAsia="仿宋_GB2312" w:cs="Times New Roman"/>
          <w:sz w:val="32"/>
          <w:szCs w:val="32"/>
          <w:highlight w:val="none"/>
        </w:rPr>
        <w:t>中大肠菌群</w:t>
      </w:r>
      <w:r>
        <w:rPr>
          <w:rFonts w:hint="eastAsia" w:ascii="Times New Roman" w:hAnsi="Times New Roman" w:eastAsia="仿宋_GB2312" w:cs="Times New Roman"/>
          <w:sz w:val="32"/>
          <w:szCs w:val="32"/>
          <w:highlight w:val="none"/>
        </w:rPr>
        <w:t>数</w:t>
      </w:r>
      <w:r>
        <w:rPr>
          <w:rFonts w:ascii="Times New Roman" w:hAnsi="Times New Roman" w:eastAsia="仿宋_GB2312" w:cs="Times New Roman"/>
          <w:sz w:val="32"/>
          <w:szCs w:val="32"/>
          <w:highlight w:val="none"/>
        </w:rPr>
        <w:t>超标的原因，可能是产品的加工原料、包装材料受污染；也可能是产品在生产过程中受人员、工器具等的污染；还可能是灭菌不彻底导致的</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rPr>
        <w:t>还可能与产品储存条件不当有关。</w:t>
      </w:r>
    </w:p>
    <w:p>
      <w:pPr>
        <w:keepNext w:val="0"/>
        <w:keepLines w:val="0"/>
        <w:pageBreakBefore w:val="0"/>
        <w:widowControl w:val="0"/>
        <w:kinsoku/>
        <w:wordWrap/>
        <w:overflowPunct/>
        <w:topLinePunct w:val="0"/>
        <w:autoSpaceDE/>
        <w:autoSpaceDN/>
        <w:bidi w:val="0"/>
        <w:adjustRightInd w:val="0"/>
        <w:snapToGrid/>
        <w:spacing w:line="594" w:lineRule="exact"/>
        <w:ind w:leftChars="0" w:firstLine="572" w:firstLineChars="200"/>
        <w:jc w:val="both"/>
        <w:textAlignment w:val="auto"/>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黑体" w:cs="Times New Roman"/>
          <w:color w:val="auto"/>
          <w:spacing w:val="-17"/>
          <w:sz w:val="32"/>
          <w:szCs w:val="32"/>
          <w:highlight w:val="none"/>
          <w:lang w:val="en-US" w:eastAsia="zh-CN"/>
        </w:rPr>
        <w:t>十五</w:t>
      </w:r>
      <w:r>
        <w:rPr>
          <w:rFonts w:hint="default" w:ascii="Times New Roman" w:hAnsi="Times New Roman" w:eastAsia="黑体" w:cs="Times New Roman"/>
          <w:color w:val="auto"/>
          <w:spacing w:val="-17"/>
          <w:sz w:val="32"/>
          <w:szCs w:val="32"/>
          <w:highlight w:val="none"/>
        </w:rPr>
        <w:t>、</w:t>
      </w:r>
      <w:r>
        <w:rPr>
          <w:rFonts w:hint="eastAsia" w:ascii="Times New Roman" w:hAnsi="Times New Roman" w:eastAsia="黑体" w:cs="Times New Roman"/>
          <w:color w:val="auto"/>
          <w:spacing w:val="0"/>
          <w:sz w:val="32"/>
          <w:szCs w:val="32"/>
          <w:highlight w:val="none"/>
          <w:lang w:val="en-US" w:eastAsia="zh-CN"/>
        </w:rPr>
        <w:t>菌落总数</w:t>
      </w:r>
    </w:p>
    <w:p>
      <w:pPr>
        <w:adjustRightInd/>
        <w:snapToGrid/>
        <w:spacing w:line="594" w:lineRule="exact"/>
        <w:ind w:firstLine="640" w:firstLineChars="200"/>
        <w:rPr>
          <w:rFonts w:hint="eastAsia" w:ascii="黑体" w:hAnsi="黑体" w:eastAsia="黑体" w:cs="黑体"/>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default" w:ascii="Times New Roman" w:hAnsi="Times New Roman" w:eastAsia="仿宋_GB2312" w:cs="Times New Roman"/>
          <w:color w:val="000000"/>
          <w:kern w:val="2"/>
          <w:sz w:val="32"/>
          <w:szCs w:val="32"/>
          <w:highlight w:val="none"/>
          <w:lang w:val="en-US" w:eastAsia="zh-CN" w:bidi="ar-SA"/>
        </w:rPr>
        <w:t>《食品安全国家标准 饮料》</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GB 7101</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kern w:val="2"/>
          <w:sz w:val="32"/>
          <w:szCs w:val="32"/>
          <w:highlight w:val="none"/>
          <w:lang w:val="en-US" w:eastAsia="zh-CN" w:bidi="ar-SA"/>
        </w:rPr>
        <w:t>2022</w:t>
      </w:r>
      <w:r>
        <w:rPr>
          <w:rFonts w:hint="eastAsia" w:ascii="Times New Roman" w:hAnsi="Times New Roman" w:eastAsia="仿宋_GB2312" w:cs="Times New Roman"/>
          <w:color w:val="000000"/>
          <w:kern w:val="2"/>
          <w:sz w:val="32"/>
          <w:szCs w:val="32"/>
          <w:highlight w:val="none"/>
          <w:lang w:val="en-US" w:eastAsia="zh-CN" w:bidi="ar-SA"/>
        </w:rPr>
        <w:t>）中规定，饮料</w:t>
      </w:r>
      <w:r>
        <w:rPr>
          <w:rFonts w:hint="eastAsia" w:ascii="Times New Roman" w:hAnsi="Times New Roman" w:eastAsia="仿宋_GB2312" w:cs="Times New Roman"/>
          <w:sz w:val="32"/>
          <w:szCs w:val="32"/>
          <w:highlight w:val="none"/>
          <w:lang w:val="en-US" w:eastAsia="zh-CN"/>
        </w:rPr>
        <w:t>中同一批次产品5个样品的菌落总数检验结果均不得超过10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lang w:val="en-US" w:eastAsia="zh-CN"/>
        </w:rPr>
        <w:t>CFU/mL，且最多允许2个样品的检验结果超过10</w:t>
      </w:r>
      <w:r>
        <w:rPr>
          <w:rFonts w:hint="eastAsia" w:ascii="Times New Roman" w:hAnsi="Times New Roman" w:eastAsia="仿宋_GB2312" w:cs="Times New Roman"/>
          <w:sz w:val="32"/>
          <w:szCs w:val="32"/>
          <w:highlight w:val="none"/>
          <w:vertAlign w:val="superscript"/>
          <w:lang w:val="en-US" w:eastAsia="zh-CN"/>
        </w:rPr>
        <w:t>2</w:t>
      </w:r>
      <w:r>
        <w:rPr>
          <w:rFonts w:hint="eastAsia" w:ascii="Times New Roman" w:hAnsi="Times New Roman" w:eastAsia="仿宋_GB2312" w:cs="Times New Roman"/>
          <w:sz w:val="32"/>
          <w:szCs w:val="32"/>
          <w:highlight w:val="none"/>
          <w:lang w:val="en-US" w:eastAsia="zh-CN"/>
        </w:rPr>
        <w:t>CFU/mL；</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食品安全国家标准 酱油</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2717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highlight w:val="none"/>
        </w:rPr>
        <w:t>，</w:t>
      </w:r>
      <w:r>
        <w:rPr>
          <w:rFonts w:hint="eastAsia" w:eastAsia="仿宋_GB2312" w:cs="Times New Roman"/>
          <w:sz w:val="32"/>
          <w:szCs w:val="32"/>
          <w:highlight w:val="none"/>
          <w:lang w:val="en-US" w:eastAsia="zh-CN"/>
        </w:rPr>
        <w:t>酱油</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w:t>
      </w:r>
      <w:r>
        <w:rPr>
          <w:rFonts w:hint="eastAsia" w:ascii="Times New Roman" w:hAnsi="Times New Roman" w:eastAsia="仿宋_GB2312" w:cs="Times New Roman"/>
          <w:sz w:val="32"/>
          <w:szCs w:val="32"/>
          <w:highlight w:val="none"/>
        </w:rPr>
        <w:t>过</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w:t>
      </w:r>
      <w:r>
        <w:rPr>
          <w:rFonts w:hint="eastAsia" w:ascii="Times New Roman" w:hAnsi="Times New Roman" w:eastAsia="仿宋_GB2312" w:cs="Times New Roman"/>
          <w:sz w:val="32"/>
          <w:szCs w:val="32"/>
          <w:highlight w:val="none"/>
          <w:lang w:val="en-US" w:eastAsia="zh-CN"/>
        </w:rPr>
        <w:t>mL</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w:t>
      </w:r>
      <w:r>
        <w:rPr>
          <w:rFonts w:hint="eastAsia" w:ascii="Times New Roman" w:hAnsi="Times New Roman" w:eastAsia="仿宋_GB2312" w:cs="Times New Roman"/>
          <w:sz w:val="32"/>
          <w:szCs w:val="32"/>
          <w:highlight w:val="none"/>
        </w:rPr>
        <w:t>过</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3</w:t>
      </w:r>
      <w:r>
        <w:rPr>
          <w:rFonts w:hint="eastAsia" w:ascii="Times New Roman" w:hAnsi="Times New Roman" w:eastAsia="仿宋_GB2312" w:cs="Times New Roman"/>
          <w:sz w:val="32"/>
          <w:szCs w:val="32"/>
          <w:highlight w:val="none"/>
        </w:rPr>
        <w:t>CFU/</w:t>
      </w:r>
      <w:r>
        <w:rPr>
          <w:rFonts w:hint="eastAsia" w:ascii="Times New Roman" w:hAnsi="Times New Roman" w:eastAsia="仿宋_GB2312" w:cs="Times New Roman"/>
          <w:sz w:val="32"/>
          <w:szCs w:val="32"/>
          <w:highlight w:val="none"/>
          <w:lang w:val="en-US" w:eastAsia="zh-CN"/>
        </w:rPr>
        <w:t>mL；</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食品安全国家标准</w:t>
      </w:r>
      <w:r>
        <w:rPr>
          <w:rFonts w:hint="eastAsia" w:ascii="Times New Roman" w:hAnsi="Times New Roman" w:eastAsia="仿宋_GB2312" w:cs="Times New Roman"/>
          <w:color w:val="auto"/>
          <w:sz w:val="32"/>
          <w:szCs w:val="32"/>
          <w:highlight w:val="none"/>
          <w:lang w:val="en-US" w:eastAsia="zh-CN"/>
        </w:rPr>
        <w:t xml:space="preserve"> 方便面</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17400</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highlight w:val="none"/>
        </w:rPr>
        <w:t>，</w:t>
      </w:r>
      <w:r>
        <w:rPr>
          <w:rFonts w:hint="eastAsia" w:ascii="Calibri" w:hAnsi="Calibri" w:eastAsia="仿宋_GB2312" w:cs="Times New Roman"/>
          <w:sz w:val="32"/>
          <w:szCs w:val="32"/>
          <w:highlight w:val="none"/>
          <w:lang w:eastAsia="zh-CN"/>
        </w:rPr>
        <w:t>方便面</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rPr>
        <w:t>CFU/g</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CFU/g</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《食品安全国家标准 糕点、面包》（GB 7099—2015）中规定，糕点同一批次产品5个样品的菌落总数检验结果均不得超过10</w:t>
      </w:r>
      <w:r>
        <w:rPr>
          <w:rFonts w:hint="eastAsia" w:ascii="Times New Roman" w:hAnsi="Times New Roman" w:eastAsia="仿宋_GB2312" w:cs="Times New Roman"/>
          <w:color w:val="auto"/>
          <w:sz w:val="32"/>
          <w:szCs w:val="32"/>
          <w:highlight w:val="none"/>
          <w:vertAlign w:val="superscript"/>
          <w:lang w:val="en-US" w:eastAsia="zh-CN"/>
        </w:rPr>
        <w:t>5</w:t>
      </w:r>
      <w:r>
        <w:rPr>
          <w:rFonts w:hint="eastAsia" w:ascii="Times New Roman" w:hAnsi="Times New Roman" w:eastAsia="仿宋_GB2312" w:cs="Times New Roman"/>
          <w:color w:val="auto"/>
          <w:sz w:val="32"/>
          <w:szCs w:val="32"/>
          <w:highlight w:val="none"/>
          <w:lang w:val="en-US" w:eastAsia="zh-CN"/>
        </w:rPr>
        <w:t>CFU/g，且最多允许2个样品的检验结果超过10</w:t>
      </w:r>
      <w:r>
        <w:rPr>
          <w:rFonts w:hint="eastAsia" w:ascii="Times New Roman" w:hAnsi="Times New Roman" w:eastAsia="仿宋_GB2312" w:cs="Times New Roman"/>
          <w:color w:val="auto"/>
          <w:sz w:val="32"/>
          <w:szCs w:val="32"/>
          <w:highlight w:val="none"/>
          <w:vertAlign w:val="superscript"/>
          <w:lang w:val="en-US" w:eastAsia="zh-CN"/>
        </w:rPr>
        <w:t>4</w:t>
      </w:r>
      <w:r>
        <w:rPr>
          <w:rFonts w:hint="eastAsia" w:ascii="Times New Roman" w:hAnsi="Times New Roman" w:eastAsia="仿宋_GB2312" w:cs="Times New Roman"/>
          <w:color w:val="auto"/>
          <w:sz w:val="32"/>
          <w:szCs w:val="32"/>
          <w:highlight w:val="none"/>
          <w:lang w:val="en-US" w:eastAsia="zh-CN"/>
        </w:rPr>
        <w:t>CFU/g；</w:t>
      </w:r>
      <w:r>
        <w:rPr>
          <w:rFonts w:hint="eastAsia" w:ascii="Times New Roman" w:hAnsi="Times New Roman" w:eastAsia="仿宋_GB2312" w:cs="Times New Roman"/>
          <w:spacing w:val="0"/>
          <w:kern w:val="2"/>
          <w:sz w:val="32"/>
          <w:szCs w:val="32"/>
          <w:highlight w:val="none"/>
          <w:lang w:val="en-US" w:eastAsia="zh-CN" w:bidi="ar-SA"/>
        </w:rPr>
        <w:t>《食品安全国家标准 藻类及其制品》（GB 19643—2016）中规定，即食藻类制品</w:t>
      </w:r>
      <w:r>
        <w:rPr>
          <w:rFonts w:hint="eastAsia" w:ascii="Times New Roman" w:hAnsi="Times New Roman" w:eastAsia="仿宋_GB2312" w:cs="Times New Roman"/>
          <w:sz w:val="32"/>
          <w:szCs w:val="32"/>
          <w:highlight w:val="none"/>
          <w:lang w:val="en-US" w:eastAsia="zh-CN"/>
        </w:rPr>
        <w:t>中同一批次产品5个样品的菌落总数检验结果均不得超过10</w:t>
      </w:r>
      <w:r>
        <w:rPr>
          <w:rFonts w:hint="eastAsia" w:ascii="Times New Roman" w:hAnsi="Times New Roman"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lang w:val="en-US" w:eastAsia="zh-CN"/>
        </w:rPr>
        <w:t>CFU/g，且最多允许2个样品的检验结果超过</w:t>
      </w:r>
      <w:r>
        <w:rPr>
          <w:rFonts w:hint="eastAsia" w:ascii="Times New Roman" w:hAnsi="Times New Roman" w:eastAsia="仿宋_GB2312" w:cs="Times New Roman"/>
          <w:spacing w:val="0"/>
          <w:kern w:val="2"/>
          <w:sz w:val="32"/>
          <w:szCs w:val="32"/>
          <w:highlight w:val="none"/>
          <w:lang w:val="en-US" w:eastAsia="zh-CN" w:bidi="ar-SA"/>
        </w:rPr>
        <w:t>3×10</w:t>
      </w:r>
      <w:r>
        <w:rPr>
          <w:rFonts w:hint="eastAsia" w:ascii="Times New Roman" w:hAnsi="Times New Roman" w:eastAsia="仿宋_GB2312" w:cs="Times New Roman"/>
          <w:spacing w:val="0"/>
          <w:kern w:val="2"/>
          <w:sz w:val="32"/>
          <w:szCs w:val="32"/>
          <w:highlight w:val="none"/>
          <w:vertAlign w:val="superscript"/>
          <w:lang w:val="en-US" w:eastAsia="zh-CN" w:bidi="ar-SA"/>
        </w:rPr>
        <w:t>4</w:t>
      </w:r>
      <w:r>
        <w:rPr>
          <w:rFonts w:hint="eastAsia" w:ascii="Times New Roman" w:hAnsi="Times New Roman" w:eastAsia="仿宋_GB2312" w:cs="Times New Roman"/>
          <w:sz w:val="32"/>
          <w:szCs w:val="32"/>
          <w:highlight w:val="none"/>
          <w:lang w:val="en-US" w:eastAsia="zh-CN"/>
        </w:rPr>
        <w:t>CFU/g</w:t>
      </w:r>
      <w:r>
        <w:rPr>
          <w:rFonts w:hint="eastAsia" w:ascii="Times New Roman" w:hAnsi="Times New Roman"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植物饮料、酱油、方便面、糕点、</w:t>
      </w:r>
      <w:r>
        <w:rPr>
          <w:rFonts w:hint="eastAsia" w:ascii="Times New Roman" w:hAnsi="Times New Roman" w:eastAsia="仿宋_GB2312" w:cs="Times New Roman"/>
          <w:spacing w:val="0"/>
          <w:kern w:val="2"/>
          <w:sz w:val="32"/>
          <w:szCs w:val="32"/>
          <w:highlight w:val="none"/>
          <w:lang w:val="en-US" w:eastAsia="zh-CN" w:bidi="ar-SA"/>
        </w:rPr>
        <w:t>即食藻类制品</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lang w:val="en-US" w:eastAsia="zh-CN"/>
        </w:rPr>
        <w:t>菌落总数超标的原因，可能是企业未按要求严格控制生产加工过程的卫生条件</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也可能与产品包装密封不严或储运条件不当等有关。</w:t>
      </w:r>
    </w:p>
    <w:p>
      <w:pPr>
        <w:spacing w:line="594" w:lineRule="exact"/>
        <w:ind w:firstLine="640" w:firstLineChars="200"/>
        <w:rPr>
          <w:rFonts w:hint="eastAsia" w:ascii="Times New Roman" w:hAnsi="Times New Roman" w:eastAsia="黑体" w:cs="Times New Roman"/>
          <w:spacing w:val="-12"/>
          <w:sz w:val="32"/>
          <w:szCs w:val="32"/>
          <w:highlight w:val="none"/>
          <w:lang w:val="en-US" w:eastAsia="zh-CN"/>
        </w:rPr>
      </w:pPr>
      <w:r>
        <w:rPr>
          <w:rFonts w:hint="eastAsia" w:ascii="黑体" w:hAnsi="黑体" w:eastAsia="黑体" w:cs="黑体"/>
          <w:color w:val="auto"/>
          <w:spacing w:val="0"/>
          <w:sz w:val="32"/>
          <w:szCs w:val="32"/>
          <w:highlight w:val="none"/>
          <w:lang w:val="en-US" w:eastAsia="zh-CN"/>
        </w:rPr>
        <w:t>十六</w:t>
      </w:r>
      <w:r>
        <w:rPr>
          <w:rFonts w:hint="eastAsia" w:ascii="黑体" w:hAnsi="黑体" w:eastAsia="黑体" w:cs="黑体"/>
          <w:color w:val="auto"/>
          <w:spacing w:val="0"/>
          <w:sz w:val="32"/>
          <w:szCs w:val="32"/>
          <w:highlight w:val="none"/>
        </w:rPr>
        <w:t>、</w:t>
      </w:r>
      <w:r>
        <w:rPr>
          <w:rFonts w:hint="eastAsia" w:ascii="Times New Roman" w:hAnsi="Times New Roman" w:eastAsia="黑体" w:cs="Times New Roman"/>
          <w:spacing w:val="-12"/>
          <w:sz w:val="32"/>
          <w:szCs w:val="32"/>
          <w:highlight w:val="none"/>
          <w:lang w:val="en-US" w:eastAsia="zh-CN"/>
        </w:rPr>
        <w:t>全氮（以氮计）</w:t>
      </w:r>
    </w:p>
    <w:p>
      <w:pPr>
        <w:pStyle w:val="9"/>
        <w:spacing w:after="0" w:line="594" w:lineRule="exact"/>
        <w:ind w:firstLine="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全氮是酱油的品质指标之一，反映了酱油中蛋白质、氨基酸、肽等含量的高低。全氮不合格主要影响产品的风味。《</w:t>
      </w:r>
      <w:r>
        <w:rPr>
          <w:rFonts w:hint="eastAsia" w:ascii="Times New Roman" w:hAnsi="Times New Roman" w:eastAsia="仿宋_GB2312" w:cs="Times New Roman"/>
          <w:sz w:val="32"/>
          <w:szCs w:val="32"/>
          <w:lang w:val="en-US" w:eastAsia="zh-CN"/>
        </w:rPr>
        <w:t>酿造酱油</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GB/T 18186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lang w:val="en-US" w:eastAsia="zh-CN"/>
        </w:rPr>
        <w:t>）中规定</w:t>
      </w:r>
      <w:r>
        <w:rPr>
          <w:rFonts w:hint="eastAsia" w:ascii="Times New Roman" w:hAnsi="Times New Roman" w:eastAsia="仿宋_GB2312" w:cs="Times New Roman"/>
          <w:sz w:val="32"/>
          <w:szCs w:val="32"/>
          <w:lang w:val="en-US" w:eastAsia="zh-CN"/>
        </w:rPr>
        <w:t>，一级低盐固态发酵酱油</w:t>
      </w:r>
      <w:r>
        <w:rPr>
          <w:rFonts w:hint="default" w:ascii="Times New Roman" w:hAnsi="Times New Roman" w:eastAsia="仿宋_GB2312" w:cs="Times New Roman"/>
          <w:sz w:val="32"/>
          <w:szCs w:val="32"/>
          <w:lang w:val="en-US" w:eastAsia="zh-CN"/>
        </w:rPr>
        <w:t>全氮（以氮计）</w:t>
      </w:r>
      <w:r>
        <w:rPr>
          <w:rFonts w:hint="eastAsia" w:ascii="Times New Roman" w:hAnsi="Times New Roman" w:eastAsia="仿宋_GB2312" w:cs="Times New Roman"/>
          <w:sz w:val="32"/>
          <w:szCs w:val="32"/>
          <w:lang w:val="en-US" w:eastAsia="zh-CN"/>
        </w:rPr>
        <w:t>≥1.40g/100mL，特级高盐稀态发酵酱油</w:t>
      </w:r>
      <w:r>
        <w:rPr>
          <w:rFonts w:hint="default" w:ascii="Times New Roman" w:hAnsi="Times New Roman" w:eastAsia="仿宋_GB2312" w:cs="Times New Roman"/>
          <w:sz w:val="32"/>
          <w:szCs w:val="32"/>
          <w:lang w:val="en-US" w:eastAsia="zh-CN"/>
        </w:rPr>
        <w:t>全氮（以氮计）</w:t>
      </w:r>
      <w:r>
        <w:rPr>
          <w:rFonts w:hint="eastAsia" w:ascii="Times New Roman" w:hAnsi="Times New Roman" w:eastAsia="仿宋_GB2312" w:cs="Times New Roman"/>
          <w:sz w:val="32"/>
          <w:szCs w:val="32"/>
          <w:lang w:val="en-US" w:eastAsia="zh-CN"/>
        </w:rPr>
        <w:t>≥1.50g/100mL。</w:t>
      </w:r>
      <w:r>
        <w:rPr>
          <w:rFonts w:hint="default" w:ascii="Times New Roman" w:hAnsi="Times New Roman" w:eastAsia="仿宋_GB2312" w:cs="Times New Roman"/>
          <w:sz w:val="32"/>
          <w:szCs w:val="32"/>
          <w:lang w:val="en-US" w:eastAsia="zh-CN"/>
        </w:rPr>
        <w:t>酱油中</w:t>
      </w:r>
      <w:bookmarkStart w:id="0" w:name="OLE_LINK3"/>
      <w:r>
        <w:rPr>
          <w:rFonts w:hint="default" w:ascii="Times New Roman" w:hAnsi="Times New Roman" w:eastAsia="仿宋_GB2312" w:cs="Times New Roman"/>
          <w:sz w:val="32"/>
          <w:szCs w:val="32"/>
          <w:lang w:val="en-US" w:eastAsia="zh-CN"/>
        </w:rPr>
        <w:t>全氮（以氮计）</w:t>
      </w:r>
      <w:bookmarkEnd w:id="0"/>
      <w:r>
        <w:rPr>
          <w:rFonts w:hint="default" w:ascii="Times New Roman" w:hAnsi="Times New Roman" w:eastAsia="仿宋_GB2312" w:cs="Times New Roman"/>
          <w:sz w:val="32"/>
          <w:szCs w:val="32"/>
          <w:lang w:val="en-US" w:eastAsia="zh-CN"/>
        </w:rPr>
        <w:t>含量不达标的原因，可能是原料采购环节质量把关不严；也可能是企业生产工艺控制不严，如酿造周期未达要求；还可能是企业在生产过程中为降低成本而涉嫌掺假。</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color w:val="auto"/>
          <w:spacing w:val="0"/>
          <w:sz w:val="32"/>
          <w:szCs w:val="32"/>
          <w:highlight w:val="none"/>
          <w:lang w:val="en-US" w:eastAsia="zh-CN"/>
        </w:rPr>
        <w:t>十七</w:t>
      </w:r>
      <w:r>
        <w:rPr>
          <w:rFonts w:hint="default" w:ascii="Times New Roman" w:hAnsi="Times New Roman" w:eastAsia="黑体" w:cs="Times New Roman"/>
          <w:color w:val="auto"/>
          <w:spacing w:val="0"/>
          <w:sz w:val="32"/>
          <w:szCs w:val="32"/>
          <w:highlight w:val="none"/>
        </w:rPr>
        <w:t>、</w:t>
      </w:r>
      <w:r>
        <w:rPr>
          <w:rFonts w:hint="eastAsia" w:ascii="Times New Roman" w:hAnsi="Times New Roman" w:eastAsia="黑体" w:cs="Times New Roman"/>
          <w:spacing w:val="0"/>
          <w:sz w:val="32"/>
          <w:szCs w:val="32"/>
          <w:lang w:val="en-US" w:eastAsia="zh-CN"/>
        </w:rPr>
        <w:t>铵盐</w:t>
      </w:r>
      <w:r>
        <w:rPr>
          <w:rFonts w:hint="default" w:ascii="Times New Roman" w:hAnsi="Times New Roman" w:eastAsia="黑体" w:cs="Times New Roman"/>
          <w:spacing w:val="0"/>
          <w:sz w:val="32"/>
          <w:szCs w:val="32"/>
          <w:lang w:val="en-US" w:eastAsia="zh-CN"/>
        </w:rPr>
        <w:t>（以占氨基酸态氮的百分比计）</w:t>
      </w:r>
    </w:p>
    <w:p>
      <w:pPr>
        <w:pStyle w:val="9"/>
        <w:widowControl w:val="0"/>
        <w:adjustRightInd/>
        <w:snapToGrid/>
        <w:spacing w:after="0" w:line="594" w:lineRule="exact"/>
        <w:ind w:firstLine="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lang w:val="en-US" w:eastAsia="zh-CN"/>
        </w:rPr>
        <w:t>铵盐是酱油中存在的非营养成分。铵盐含量超标会影响酱油的风味。《酿造酱油》（GB/T 18186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2000）中规定，酱油中铵盐的含量不得超过氨基酸态氮含量的30%。酱油中铵盐含量超标的原因，可能是原料被杂菌污染，在发酵过程中大豆蛋白质被分解过度而产生无机铵；也有可能是在生产过程中添加焦糖色等添加剂带入；还有可能是生产经营企业为提高酱油全氮和氨基酸态氮含量而违规加入。</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kern w:val="2"/>
          <w:sz w:val="32"/>
          <w:szCs w:val="32"/>
          <w:highlight w:val="none"/>
          <w:lang w:val="en-US" w:eastAsia="zh-CN" w:bidi="ar-SA"/>
        </w:rPr>
        <w:t>十八</w:t>
      </w:r>
      <w:r>
        <w:rPr>
          <w:rFonts w:hint="default" w:ascii="Times New Roman" w:hAnsi="Times New Roman" w:eastAsia="黑体" w:cs="Times New Roman"/>
          <w:color w:val="auto"/>
          <w:kern w:val="2"/>
          <w:sz w:val="32"/>
          <w:szCs w:val="32"/>
          <w:highlight w:val="none"/>
          <w:lang w:val="en-US" w:eastAsia="zh-CN" w:bidi="ar-SA"/>
        </w:rPr>
        <w:t>、</w:t>
      </w:r>
      <w:r>
        <w:rPr>
          <w:rFonts w:hint="default" w:ascii="Times New Roman" w:hAnsi="Times New Roman" w:eastAsia="黑体" w:cs="Times New Roman"/>
          <w:spacing w:val="0"/>
          <w:sz w:val="32"/>
          <w:szCs w:val="32"/>
          <w:highlight w:val="none"/>
          <w:lang w:val="en-US" w:eastAsia="zh-CN"/>
        </w:rPr>
        <w:t>氨基酸态氮</w:t>
      </w:r>
    </w:p>
    <w:p>
      <w:pPr>
        <w:adjustRightInd w:val="0"/>
        <w:snapToGrid w:val="0"/>
        <w:spacing w:line="594"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kern w:val="2"/>
          <w:sz w:val="32"/>
          <w:szCs w:val="32"/>
          <w:highlight w:val="none"/>
          <w:lang w:val="en-US" w:eastAsia="zh-CN" w:bidi="ar-SA"/>
        </w:rPr>
        <w:t>氨基酸态氮是酱油的特征性品质指标之一，氨基酸态氮含量越高，酱油鲜味越浓，反映酱油的质量越好。氨基酸态氮不合格主要影响产品的品质。《酿造酱油》</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GB/T 18186</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2000</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中规定，</w:t>
      </w:r>
      <w:r>
        <w:rPr>
          <w:rFonts w:hint="eastAsia" w:ascii="Times New Roman" w:hAnsi="Times New Roman" w:eastAsia="仿宋_GB2312" w:cs="Times New Roman"/>
          <w:kern w:val="2"/>
          <w:sz w:val="32"/>
          <w:szCs w:val="32"/>
          <w:highlight w:val="none"/>
          <w:lang w:val="en-US" w:eastAsia="zh-CN" w:bidi="ar-SA"/>
        </w:rPr>
        <w:t>一级酱油氨基酸态氮</w:t>
      </w:r>
      <w:r>
        <w:rPr>
          <w:rFonts w:hint="eastAsia" w:asciiTheme="minorEastAsia" w:hAnsiTheme="minorEastAsia" w:eastAsiaTheme="minorEastAsia" w:cstheme="minorEastAsia"/>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0.70g/100mL。“老式头道酱油（酿造酱油）”既不符合相关产品执行标准要求和产品标签标示要求“≥0.70克/100毫升”。</w:t>
      </w:r>
      <w:r>
        <w:rPr>
          <w:rFonts w:hint="default" w:ascii="Times New Roman" w:hAnsi="Times New Roman" w:eastAsia="仿宋_GB2312" w:cs="Times New Roman"/>
          <w:kern w:val="2"/>
          <w:sz w:val="32"/>
          <w:szCs w:val="32"/>
          <w:highlight w:val="none"/>
          <w:lang w:val="en-US" w:eastAsia="zh-CN" w:bidi="ar-SA"/>
        </w:rPr>
        <w:t>酱油中氨基酸态氮含量不达标的原因，可能是原料采购环节质量把关不严；也可能是企业生产工艺控制不严，如酿造周期未达要求；还可能是企业在生产过程中为降低成本而以次充好。</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黑体" w:hAnsi="黑体" w:eastAsia="黑体" w:cs="黑体"/>
          <w:color w:val="auto"/>
          <w:spacing w:val="-12"/>
          <w:sz w:val="32"/>
          <w:szCs w:val="32"/>
          <w:highlight w:val="none"/>
          <w:lang w:val="en-US" w:eastAsia="zh-CN"/>
        </w:rPr>
        <w:t>十九</w:t>
      </w:r>
      <w:r>
        <w:rPr>
          <w:rFonts w:hint="eastAsia" w:ascii="黑体" w:hAnsi="黑体" w:eastAsia="黑体" w:cs="黑体"/>
          <w:color w:val="auto"/>
          <w:spacing w:val="-12"/>
          <w:sz w:val="32"/>
          <w:szCs w:val="32"/>
          <w:highlight w:val="none"/>
        </w:rPr>
        <w:t>、</w:t>
      </w:r>
      <w:r>
        <w:rPr>
          <w:rFonts w:hint="eastAsia" w:ascii="Times New Roman" w:hAnsi="Times New Roman" w:eastAsia="黑体" w:cs="Times New Roman"/>
          <w:color w:val="auto"/>
          <w:kern w:val="2"/>
          <w:sz w:val="32"/>
          <w:szCs w:val="32"/>
          <w:highlight w:val="none"/>
          <w:lang w:val="en-US" w:eastAsia="zh-CN" w:bidi="ar-SA"/>
        </w:rPr>
        <w:t>过氧化值</w:t>
      </w:r>
      <w:r>
        <w:rPr>
          <w:rFonts w:hint="eastAsia" w:ascii="Times New Roman" w:hAnsi="Times New Roman" w:eastAsia="黑体" w:cs="Times New Roman"/>
          <w:sz w:val="32"/>
          <w:szCs w:val="32"/>
          <w:highlight w:val="none"/>
          <w:lang w:val="en-US" w:eastAsia="zh-CN"/>
        </w:rPr>
        <w:t>（以脂肪计）</w:t>
      </w:r>
    </w:p>
    <w:p>
      <w:pPr>
        <w:widowControl w:val="0"/>
        <w:pBdr>
          <w:top w:val="none" w:color="auto" w:sz="0" w:space="0"/>
          <w:left w:val="none" w:color="auto" w:sz="0" w:space="0"/>
          <w:bottom w:val="none" w:color="auto" w:sz="0" w:space="0"/>
          <w:right w:val="none" w:color="auto" w:sz="0" w:space="0"/>
        </w:pBdr>
        <w:shd w:val="clear"/>
        <w:adjustRightInd w:val="0"/>
        <w:snapToGrid w:val="0"/>
        <w:spacing w:line="594" w:lineRule="exact"/>
        <w:ind w:firstLine="640" w:firstLineChars="200"/>
        <w:rPr>
          <w:rFonts w:hint="eastAsia" w:ascii="黑体" w:hAnsi="黑体" w:eastAsia="黑体" w:cs="Times New Roman"/>
          <w:sz w:val="32"/>
          <w:szCs w:val="32"/>
          <w:lang w:eastAsia="zh-CN"/>
        </w:rPr>
      </w:pPr>
      <w:r>
        <w:rPr>
          <w:rFonts w:ascii="Times New Roman" w:hAnsi="Times New Roman" w:eastAsia="仿宋_GB2312" w:cs="Times New Roman"/>
          <w:color w:val="auto"/>
          <w:sz w:val="32"/>
          <w:szCs w:val="32"/>
          <w:highlight w:val="none"/>
        </w:rPr>
        <w:t>过氧化值主要反映油脂被氧化的程度。食用过氧化值超标的食品一般不会对人体健康造成损害，但长期食用过氧化值严重超标的食品可能导致肠胃不适、腹泻等。</w:t>
      </w:r>
      <w:r>
        <w:rPr>
          <w:rFonts w:hint="default" w:ascii="Times New Roman" w:hAnsi="Times New Roman" w:eastAsia="仿宋_GB2312" w:cs="Times New Roman"/>
          <w:color w:val="auto"/>
          <w:sz w:val="32"/>
          <w:szCs w:val="32"/>
          <w:highlight w:val="none"/>
          <w:lang w:val="en-US" w:eastAsia="zh-CN"/>
        </w:rPr>
        <w:t>企业标准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水果</w:t>
      </w:r>
      <w:r>
        <w:rPr>
          <w:rFonts w:hint="default" w:ascii="Times New Roman" w:hAnsi="Times New Roman" w:eastAsia="仿宋_GB2312" w:cs="Times New Roman"/>
          <w:color w:val="auto"/>
          <w:sz w:val="32"/>
          <w:szCs w:val="32"/>
          <w:highlight w:val="none"/>
          <w:lang w:eastAsia="zh-CN"/>
        </w:rPr>
        <w:t>蔬菜干制品</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pacing w:val="0"/>
          <w:sz w:val="32"/>
          <w:szCs w:val="32"/>
          <w:highlight w:val="none"/>
          <w:lang w:val="en-US" w:eastAsia="zh-CN"/>
        </w:rPr>
        <w:t>Q/SCD 0001S</w:t>
      </w:r>
      <w:r>
        <w:rPr>
          <w:rFonts w:hint="eastAsia" w:ascii="仿宋_GB2312" w:hAnsi="仿宋_GB2312" w:eastAsia="仿宋_GB2312" w:cs="仿宋_GB2312"/>
          <w:color w:val="auto"/>
          <w:spacing w:val="0"/>
          <w:sz w:val="32"/>
          <w:szCs w:val="32"/>
          <w:highlight w:val="none"/>
          <w:lang w:val="en-US" w:eastAsia="zh-CN"/>
        </w:rPr>
        <w:t>—</w:t>
      </w:r>
      <w:r>
        <w:rPr>
          <w:rFonts w:hint="eastAsia" w:ascii="Times New Roman" w:hAnsi="Times New Roman" w:eastAsia="仿宋_GB2312" w:cs="Times New Roman"/>
          <w:color w:val="auto"/>
          <w:spacing w:val="0"/>
          <w:sz w:val="32"/>
          <w:szCs w:val="32"/>
          <w:highlight w:val="none"/>
          <w:lang w:val="en-US" w:eastAsia="zh-CN"/>
        </w:rPr>
        <w:t>2025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ascii="Times New Roman" w:hAnsi="Times New Roman" w:eastAsia="仿宋_GB2312" w:cs="Times New Roman"/>
          <w:color w:val="auto"/>
          <w:sz w:val="32"/>
          <w:szCs w:val="32"/>
          <w:highlight w:val="none"/>
        </w:rPr>
        <w:t>过氧化值（以脂肪计）的最大限量值为</w:t>
      </w:r>
      <w:r>
        <w:rPr>
          <w:rFonts w:hint="default" w:ascii="Times New Roman" w:hAnsi="Times New Roman" w:eastAsia="仿宋_GB2312" w:cs="Times New Roman"/>
          <w:color w:val="auto"/>
          <w:sz w:val="32"/>
          <w:szCs w:val="32"/>
          <w:highlight w:val="none"/>
          <w:lang w:val="en-US" w:eastAsia="zh-CN"/>
        </w:rPr>
        <w:t>0.25</w:t>
      </w:r>
      <w:r>
        <w:rPr>
          <w:rFonts w:ascii="Times New Roman" w:hAnsi="Times New Roman" w:eastAsia="仿宋_GB2312" w:cs="Times New Roman"/>
          <w:color w:val="auto"/>
          <w:sz w:val="32"/>
          <w:szCs w:val="32"/>
          <w:highlight w:val="none"/>
        </w:rPr>
        <w:t>g/100g</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《食品安全国家标准 糕点、面包》（GB 7099</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2015）中规定，糕点中过氧化值（以脂肪计）的最大限量值为0.25g/100g。</w:t>
      </w:r>
      <w:r>
        <w:rPr>
          <w:rFonts w:hint="eastAsia" w:ascii="Times New Roman" w:hAnsi="Times New Roman" w:eastAsia="仿宋_GB2312" w:cs="Times New Roman"/>
          <w:color w:val="auto"/>
          <w:sz w:val="32"/>
          <w:szCs w:val="32"/>
          <w:highlight w:val="none"/>
          <w:lang w:val="en-US" w:eastAsia="zh-CN"/>
        </w:rPr>
        <w:t>干制蔬菜、糕点</w:t>
      </w:r>
      <w:r>
        <w:rPr>
          <w:rFonts w:hint="default" w:ascii="Times New Roman" w:hAnsi="Times New Roman" w:eastAsia="仿宋_GB2312" w:cs="Times New Roman"/>
          <w:color w:val="auto"/>
          <w:sz w:val="32"/>
          <w:szCs w:val="32"/>
          <w:highlight w:val="none"/>
        </w:rPr>
        <w:t>中过氧化值（以脂肪计）</w:t>
      </w:r>
      <w:r>
        <w:rPr>
          <w:rFonts w:hint="default" w:ascii="Times New Roman" w:hAnsi="Times New Roman" w:eastAsia="仿宋_GB2312" w:cs="Times New Roman"/>
          <w:color w:val="auto"/>
          <w:sz w:val="32"/>
          <w:szCs w:val="32"/>
          <w:highlight w:val="none"/>
          <w:lang w:val="en-US" w:eastAsia="zh-CN"/>
        </w:rPr>
        <w:t>检验值超标的原因</w:t>
      </w:r>
      <w:r>
        <w:rPr>
          <w:rFonts w:hint="default" w:ascii="Times New Roman" w:hAnsi="Times New Roman" w:eastAsia="仿宋_GB2312" w:cs="Times New Roman"/>
          <w:color w:val="auto"/>
          <w:sz w:val="32"/>
          <w:szCs w:val="32"/>
          <w:highlight w:val="none"/>
        </w:rPr>
        <w:t>，可能是原料中的脂肪已经被氧化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也可能与产品在储运过程中环境条件控制不当等有关</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还可能是加工工艺不达标</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rPr>
          <w:rFonts w:hint="eastAsia" w:ascii="Times New Roman" w:hAnsi="Times New Roman" w:eastAsia="黑体" w:cs="Times New Roman"/>
          <w:spacing w:val="-12"/>
          <w:kern w:val="2"/>
          <w:sz w:val="32"/>
          <w:szCs w:val="32"/>
          <w:lang w:val="en-US" w:eastAsia="zh-CN" w:bidi="ar-SA"/>
        </w:rPr>
      </w:pPr>
      <w:r>
        <w:rPr>
          <w:rFonts w:hint="eastAsia" w:ascii="黑体" w:hAnsi="黑体" w:eastAsia="黑体" w:cs="黑体"/>
          <w:color w:val="auto"/>
          <w:sz w:val="32"/>
          <w:szCs w:val="32"/>
          <w:highlight w:val="none"/>
          <w:lang w:val="en-US" w:eastAsia="zh-CN"/>
        </w:rPr>
        <w:t>二十、</w:t>
      </w:r>
      <w:r>
        <w:rPr>
          <w:rFonts w:hint="eastAsia" w:ascii="Times New Roman" w:hAnsi="Times New Roman" w:eastAsia="黑体" w:cs="Times New Roman"/>
          <w:spacing w:val="-12"/>
          <w:kern w:val="2"/>
          <w:sz w:val="32"/>
          <w:szCs w:val="32"/>
          <w:lang w:val="en-US" w:eastAsia="zh-CN" w:bidi="ar-SA"/>
        </w:rPr>
        <w:t>乳酸菌数</w:t>
      </w:r>
    </w:p>
    <w:p>
      <w:pPr>
        <w:pStyle w:val="9"/>
        <w:spacing w:after="0" w:line="594" w:lineRule="exact"/>
        <w:ind w:firstLine="640" w:firstLineChars="200"/>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t>乳酸菌是益生菌中最具代表性的菌属之一，</w:t>
      </w:r>
      <w:r>
        <w:rPr>
          <w:rFonts w:hint="eastAsia" w:ascii="Times New Roman" w:hAnsi="Times New Roman" w:eastAsia="仿宋_GB2312" w:cs="Times New Roman"/>
          <w:color w:val="000000"/>
          <w:kern w:val="2"/>
          <w:sz w:val="32"/>
          <w:szCs w:val="32"/>
          <w:highlight w:val="none"/>
          <w:lang w:val="en-US" w:eastAsia="zh-CN" w:bidi="ar-SA"/>
        </w:rPr>
        <w:t>其</w:t>
      </w:r>
      <w:r>
        <w:rPr>
          <w:rFonts w:hint="default" w:ascii="Times New Roman" w:hAnsi="Times New Roman" w:eastAsia="仿宋_GB2312" w:cs="Times New Roman"/>
          <w:color w:val="000000"/>
          <w:kern w:val="2"/>
          <w:sz w:val="32"/>
          <w:szCs w:val="32"/>
          <w:highlight w:val="none"/>
          <w:lang w:val="en-US" w:eastAsia="zh-CN" w:bidi="ar-SA"/>
        </w:rPr>
        <w:t>要发挥益生作用活菌数需要达到1×10</w:t>
      </w:r>
      <w:r>
        <w:rPr>
          <w:rFonts w:hint="default" w:ascii="Times New Roman" w:hAnsi="Times New Roman" w:eastAsia="仿宋_GB2312" w:cs="Times New Roman"/>
          <w:color w:val="000000"/>
          <w:kern w:val="2"/>
          <w:sz w:val="32"/>
          <w:szCs w:val="32"/>
          <w:highlight w:val="none"/>
          <w:vertAlign w:val="superscript"/>
          <w:lang w:val="en-US" w:eastAsia="zh-CN" w:bidi="ar-SA"/>
        </w:rPr>
        <w:t>6</w:t>
      </w:r>
      <w:r>
        <w:rPr>
          <w:rFonts w:hint="eastAsia"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kern w:val="2"/>
          <w:sz w:val="32"/>
          <w:szCs w:val="32"/>
          <w:highlight w:val="none"/>
          <w:lang w:val="en-US" w:eastAsia="zh-CN" w:bidi="ar-SA"/>
        </w:rPr>
        <w:t>CFU/g（mL）。《食品安全国家标准 饮料》</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GB 7101</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kern w:val="2"/>
          <w:sz w:val="32"/>
          <w:szCs w:val="32"/>
          <w:highlight w:val="none"/>
          <w:lang w:val="en-US" w:eastAsia="zh-CN" w:bidi="ar-SA"/>
        </w:rPr>
        <w:t>2022</w:t>
      </w:r>
      <w:r>
        <w:rPr>
          <w:rFonts w:hint="eastAsia" w:ascii="Times New Roman" w:hAnsi="Times New Roman" w:eastAsia="仿宋_GB2312" w:cs="Times New Roman"/>
          <w:color w:val="000000"/>
          <w:kern w:val="2"/>
          <w:sz w:val="32"/>
          <w:szCs w:val="32"/>
          <w:highlight w:val="none"/>
          <w:lang w:val="en-US" w:eastAsia="zh-CN" w:bidi="ar-SA"/>
        </w:rPr>
        <w:t>）中规定，添加乳酸菌的活菌（未杀菌）型产品乳酸菌数应≥</w:t>
      </w:r>
      <w:r>
        <w:rPr>
          <w:rFonts w:hint="default" w:ascii="Times New Roman" w:hAnsi="Times New Roman" w:eastAsia="仿宋_GB2312" w:cs="Times New Roman"/>
          <w:color w:val="000000"/>
          <w:kern w:val="2"/>
          <w:sz w:val="32"/>
          <w:szCs w:val="32"/>
          <w:highlight w:val="none"/>
          <w:lang w:val="en-US" w:eastAsia="zh-CN" w:bidi="ar-SA"/>
        </w:rPr>
        <w:t>10</w:t>
      </w:r>
      <w:r>
        <w:rPr>
          <w:rFonts w:hint="default" w:ascii="Times New Roman" w:hAnsi="Times New Roman" w:eastAsia="仿宋_GB2312" w:cs="Times New Roman"/>
          <w:color w:val="000000"/>
          <w:kern w:val="2"/>
          <w:sz w:val="32"/>
          <w:szCs w:val="32"/>
          <w:highlight w:val="none"/>
          <w:vertAlign w:val="superscript"/>
          <w:lang w:val="en-US" w:eastAsia="zh-CN" w:bidi="ar-SA"/>
        </w:rPr>
        <w:t>6</w:t>
      </w:r>
      <w:r>
        <w:rPr>
          <w:rFonts w:hint="eastAsia"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kern w:val="2"/>
          <w:sz w:val="32"/>
          <w:szCs w:val="32"/>
          <w:highlight w:val="none"/>
          <w:lang w:val="en-US" w:eastAsia="zh-CN" w:bidi="ar-SA"/>
        </w:rPr>
        <w:t>CFU/g（mL）</w:t>
      </w:r>
      <w:r>
        <w:rPr>
          <w:rFonts w:hint="eastAsia" w:ascii="Times New Roman" w:hAnsi="Times New Roman" w:eastAsia="仿宋_GB2312" w:cs="Times New Roman"/>
          <w:color w:val="000000"/>
          <w:kern w:val="2"/>
          <w:sz w:val="32"/>
          <w:szCs w:val="32"/>
          <w:highlight w:val="none"/>
          <w:lang w:val="en-US" w:eastAsia="zh-CN" w:bidi="ar-SA"/>
        </w:rPr>
        <w:t>，并在产品标签上标识乳酸菌含量。</w:t>
      </w:r>
      <w:r>
        <w:rPr>
          <w:rFonts w:hint="eastAsia" w:ascii="Times New Roman" w:hAnsi="Times New Roman" w:eastAsia="仿宋_GB2312" w:cs="Times New Roman"/>
          <w:sz w:val="32"/>
          <w:szCs w:val="32"/>
          <w:highlight w:val="none"/>
          <w:lang w:val="en-US" w:eastAsia="zh-CN"/>
        </w:rPr>
        <w:t>固体饮料</w:t>
      </w:r>
      <w:r>
        <w:rPr>
          <w:rFonts w:hint="default" w:ascii="Times New Roman" w:hAnsi="Times New Roman" w:eastAsia="仿宋_GB2312" w:cs="Times New Roman"/>
          <w:sz w:val="32"/>
          <w:szCs w:val="32"/>
          <w:highlight w:val="none"/>
          <w:lang w:val="en-US" w:eastAsia="zh-CN"/>
        </w:rPr>
        <w:t>中乳酸菌数不</w:t>
      </w:r>
      <w:r>
        <w:rPr>
          <w:rFonts w:hint="eastAsia" w:ascii="Times New Roman" w:hAnsi="Times New Roman" w:eastAsia="仿宋_GB2312" w:cs="Times New Roman"/>
          <w:sz w:val="32"/>
          <w:szCs w:val="32"/>
          <w:highlight w:val="none"/>
          <w:lang w:val="en-US" w:eastAsia="zh-CN"/>
        </w:rPr>
        <w:t>达标的</w:t>
      </w:r>
      <w:r>
        <w:rPr>
          <w:rFonts w:hint="default" w:ascii="Times New Roman" w:hAnsi="Times New Roman" w:eastAsia="仿宋_GB2312" w:cs="Times New Roman"/>
          <w:sz w:val="32"/>
          <w:szCs w:val="32"/>
          <w:highlight w:val="none"/>
          <w:lang w:val="en-US" w:eastAsia="zh-CN"/>
        </w:rPr>
        <w:t>原因</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可能是由于产品在生产过程中未严格按照生产工艺操作或在运输、销售等环节没能达到相应条件。</w:t>
      </w:r>
    </w:p>
    <w:p>
      <w:pPr>
        <w:numPr>
          <w:ilvl w:val="0"/>
          <w:numId w:val="0"/>
        </w:numPr>
        <w:adjustRightInd w:val="0"/>
        <w:snapToGrid w:val="0"/>
        <w:spacing w:line="594" w:lineRule="exact"/>
        <w:ind w:left="0" w:leftChars="0" w:firstLine="640" w:firstLineChars="200"/>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一</w:t>
      </w:r>
      <w:r>
        <w:rPr>
          <w:rFonts w:hint="default" w:ascii="Times New Roman" w:hAnsi="Times New Roman" w:eastAsia="黑体" w:cs="Times New Roman"/>
          <w:color w:val="auto"/>
          <w:spacing w:val="0"/>
          <w:sz w:val="32"/>
          <w:szCs w:val="32"/>
          <w:highlight w:val="none"/>
          <w:lang w:val="en-US" w:eastAsia="zh-CN"/>
        </w:rPr>
        <w:t>、</w:t>
      </w:r>
      <w:r>
        <w:rPr>
          <w:rFonts w:hint="eastAsia" w:ascii="Times New Roman" w:hAnsi="Times New Roman" w:eastAsia="黑体" w:cs="Times New Roman"/>
          <w:color w:val="000000"/>
          <w:sz w:val="32"/>
          <w:szCs w:val="32"/>
          <w:lang w:val="en-US" w:eastAsia="zh-CN"/>
        </w:rPr>
        <w:t>钙</w:t>
      </w:r>
    </w:p>
    <w:p>
      <w:pPr>
        <w:tabs>
          <w:tab w:val="left" w:pos="6720"/>
        </w:tabs>
        <w:spacing w:line="594"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lang w:val="en-US" w:eastAsia="zh-CN"/>
        </w:rPr>
        <w:t>钙是人体含量最多的矿物质元素，可维持人体神经和肌肉活动、促进细胞信息传递。钙缺乏可能会导致肌肉痉挛、骨质疏松等。过量摄入钙可能会导致高血钙症、高钙尿、血管和软组织钙化等。</w:t>
      </w:r>
      <w:r>
        <w:rPr>
          <w:rFonts w:hint="eastAsia" w:ascii="Times New Roman" w:hAnsi="Times New Roman" w:eastAsia="仿宋_GB2312" w:cs="Times New Roman"/>
          <w:sz w:val="32"/>
          <w:szCs w:val="32"/>
          <w:highlight w:val="none"/>
          <w:lang w:val="en-US" w:eastAsia="zh-CN"/>
        </w:rPr>
        <w:t>企业标准</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冲调类蛋白粉（其他方便食品）</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Q/JXH 0001S</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）中规定</w:t>
      </w:r>
      <w:r>
        <w:rPr>
          <w:rFonts w:hint="default" w:ascii="Times New Roman" w:hAnsi="Times New Roman" w:eastAsia="仿宋_GB2312" w:cs="Times New Roman"/>
          <w:color w:val="auto"/>
          <w:sz w:val="32"/>
          <w:szCs w:val="32"/>
          <w:highlight w:val="none"/>
          <w:lang w:val="en-US" w:eastAsia="zh-CN"/>
        </w:rPr>
        <w:t>，冲调类蛋白粉中钙含量应在</w:t>
      </w:r>
      <w:r>
        <w:rPr>
          <w:rFonts w:hint="eastAsia" w:ascii="Times New Roman" w:hAnsi="Times New Roman" w:eastAsia="仿宋_GB2312" w:cs="Times New Roman"/>
          <w:color w:val="auto"/>
          <w:sz w:val="32"/>
          <w:szCs w:val="32"/>
          <w:highlight w:val="none"/>
          <w:lang w:val="en-US" w:eastAsia="zh-CN"/>
        </w:rPr>
        <w:t>1600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800</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mg</w:t>
      </w:r>
      <w:r>
        <w:rPr>
          <w:rFonts w:hint="eastAsia" w:ascii="Times New Roman" w:hAnsi="Times New Roman" w:eastAsia="仿宋_GB2312" w:cs="Times New Roman"/>
          <w:color w:val="auto"/>
          <w:sz w:val="32"/>
          <w:szCs w:val="32"/>
          <w:highlight w:val="none"/>
          <w:lang w:val="en-US" w:eastAsia="zh-CN"/>
        </w:rPr>
        <w:t>/kg</w:t>
      </w:r>
      <w:r>
        <w:rPr>
          <w:rFonts w:hint="default" w:ascii="Times New Roman" w:hAnsi="Times New Roman" w:eastAsia="仿宋_GB2312" w:cs="Times New Roman"/>
          <w:color w:val="auto"/>
          <w:sz w:val="32"/>
          <w:szCs w:val="32"/>
          <w:highlight w:val="none"/>
          <w:lang w:val="en-US" w:eastAsia="zh-CN"/>
        </w:rPr>
        <w:t>范围内</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《食品安全国家标准 运动营养食品通则》（GB 24154</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2015）中规定</w:t>
      </w:r>
      <w:r>
        <w:rPr>
          <w:rFonts w:hint="default" w:ascii="Times New Roman" w:hAnsi="Times New Roman" w:eastAsia="仿宋_GB2312" w:cs="Times New Roman"/>
          <w:color w:val="auto"/>
          <w:sz w:val="32"/>
          <w:szCs w:val="32"/>
          <w:highlight w:val="none"/>
          <w:lang w:val="en-US" w:eastAsia="zh-CN"/>
        </w:rPr>
        <w:t>，运动营养食品中</w:t>
      </w:r>
      <w:r>
        <w:rPr>
          <w:rFonts w:hint="eastAsia" w:ascii="Times New Roman" w:hAnsi="Times New Roman" w:eastAsia="仿宋_GB2312" w:cs="Times New Roman"/>
          <w:color w:val="auto"/>
          <w:sz w:val="32"/>
          <w:szCs w:val="32"/>
          <w:highlight w:val="none"/>
          <w:lang w:val="en-US" w:eastAsia="zh-CN"/>
        </w:rPr>
        <w:t>钙</w:t>
      </w:r>
      <w:r>
        <w:rPr>
          <w:rFonts w:hint="default" w:ascii="Times New Roman" w:hAnsi="Times New Roman" w:eastAsia="仿宋_GB2312" w:cs="Times New Roman"/>
          <w:color w:val="auto"/>
          <w:sz w:val="32"/>
          <w:szCs w:val="32"/>
          <w:highlight w:val="none"/>
          <w:lang w:val="en-US" w:eastAsia="zh-CN"/>
        </w:rPr>
        <w:t>含量（以每日计）</w:t>
      </w:r>
      <w:r>
        <w:rPr>
          <w:rFonts w:hint="eastAsia" w:ascii="Times New Roman" w:hAnsi="Times New Roman" w:eastAsia="仿宋_GB2312" w:cs="Times New Roman"/>
          <w:color w:val="auto"/>
          <w:sz w:val="32"/>
          <w:szCs w:val="32"/>
          <w:highlight w:val="none"/>
          <w:lang w:val="en-US" w:eastAsia="zh-CN"/>
        </w:rPr>
        <w:t>应在</w:t>
      </w:r>
      <w:r>
        <w:rPr>
          <w:rFonts w:hint="eastAsia" w:ascii="Times New Roman" w:hAnsi="Times New Roman" w:eastAsia="仿宋_GB2312" w:cs="Times New Roman"/>
          <w:color w:val="auto"/>
          <w:sz w:val="32"/>
          <w:szCs w:val="32"/>
          <w:lang w:val="en-US" w:eastAsia="zh-CN"/>
        </w:rPr>
        <w:t>150—800mg范围内；《食品安全国家标准 预包装特殊膳食用食品标签》（GB 13432—2013）中规定，在产品保质期内，能量和营养成分的实际含量不应低于标示值的80%。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冲调类蛋白粉</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中钙含量不</w:t>
      </w:r>
      <w:r>
        <w:rPr>
          <w:rFonts w:hint="eastAsia" w:ascii="Times New Roman" w:hAnsi="Times New Roman" w:eastAsia="仿宋_GB2312" w:cs="Times New Roman"/>
          <w:sz w:val="32"/>
          <w:szCs w:val="32"/>
          <w:highlight w:val="none"/>
          <w:lang w:val="en-US" w:eastAsia="zh-CN"/>
        </w:rPr>
        <w:t>达标</w:t>
      </w:r>
      <w:r>
        <w:rPr>
          <w:rFonts w:hint="default" w:ascii="Times New Roman" w:hAnsi="Times New Roman" w:eastAsia="仿宋_GB2312" w:cs="Times New Roman"/>
          <w:sz w:val="32"/>
          <w:szCs w:val="32"/>
          <w:highlight w:val="none"/>
          <w:lang w:val="en-US" w:eastAsia="zh-CN"/>
        </w:rPr>
        <w:t>的原因</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也可能是生产工艺不合理</w:t>
      </w:r>
      <w:r>
        <w:rPr>
          <w:rFonts w:hint="eastAsia"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val="en-US" w:eastAsia="zh-CN"/>
        </w:rPr>
        <w:t>可能是生产加工过程中搅拌不均匀。</w:t>
      </w:r>
    </w:p>
    <w:p>
      <w:pPr>
        <w:pStyle w:val="9"/>
        <w:keepNext w:val="0"/>
        <w:keepLines w:val="0"/>
        <w:pageBreakBefore w:val="0"/>
        <w:widowControl w:val="0"/>
        <w:kinsoku/>
        <w:wordWrap/>
        <w:overflowPunct/>
        <w:topLinePunct w:val="0"/>
        <w:bidi w:val="0"/>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color w:val="auto"/>
          <w:spacing w:val="-12"/>
          <w:sz w:val="32"/>
          <w:szCs w:val="32"/>
          <w:highlight w:val="none"/>
          <w:lang w:val="en-US" w:eastAsia="zh-CN"/>
        </w:rPr>
        <w:t>二十二、</w:t>
      </w:r>
      <w:r>
        <w:rPr>
          <w:rFonts w:hint="default" w:ascii="Times New Roman" w:hAnsi="Times New Roman" w:eastAsia="黑体" w:cs="Times New Roman"/>
          <w:spacing w:val="0"/>
          <w:sz w:val="32"/>
          <w:szCs w:val="32"/>
          <w:highlight w:val="none"/>
          <w:lang w:val="en-US" w:eastAsia="zh-CN"/>
        </w:rPr>
        <w:t>锌</w:t>
      </w:r>
    </w:p>
    <w:p>
      <w:pPr>
        <w:pStyle w:val="9"/>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锌</w:t>
      </w:r>
      <w:r>
        <w:rPr>
          <w:rFonts w:hint="default" w:ascii="Times New Roman" w:hAnsi="Times New Roman" w:eastAsia="仿宋_GB2312" w:cs="Times New Roman"/>
          <w:sz w:val="32"/>
          <w:szCs w:val="32"/>
          <w:highlight w:val="none"/>
        </w:rPr>
        <w:t>是人体</w:t>
      </w:r>
      <w:r>
        <w:rPr>
          <w:rFonts w:hint="default" w:ascii="Times New Roman" w:hAnsi="Times New Roman" w:eastAsia="仿宋_GB2312" w:cs="Times New Roman"/>
          <w:sz w:val="32"/>
          <w:szCs w:val="32"/>
          <w:highlight w:val="none"/>
          <w:lang w:val="en-US" w:eastAsia="zh-CN"/>
        </w:rPr>
        <w:t>必需</w:t>
      </w:r>
      <w:r>
        <w:rPr>
          <w:rFonts w:hint="default" w:ascii="Times New Roman" w:hAnsi="Times New Roman" w:eastAsia="仿宋_GB2312" w:cs="Times New Roman"/>
          <w:sz w:val="32"/>
          <w:szCs w:val="32"/>
          <w:highlight w:val="none"/>
        </w:rPr>
        <w:t>的微量</w:t>
      </w:r>
      <w:r>
        <w:rPr>
          <w:rFonts w:hint="default" w:ascii="Times New Roman" w:hAnsi="Times New Roman" w:eastAsia="仿宋_GB2312" w:cs="Times New Roman"/>
          <w:sz w:val="32"/>
          <w:szCs w:val="32"/>
          <w:highlight w:val="none"/>
          <w:lang w:val="en-US" w:eastAsia="zh-CN"/>
        </w:rPr>
        <w:t>元素，对生长发育、免疫功能、物质代谢等均有重要作用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锌缺乏可能导致味觉障碍、生长发育不良、皮肤干燥等症状。</w:t>
      </w:r>
      <w:r>
        <w:rPr>
          <w:rFonts w:hint="eastAsia" w:ascii="Times New Roman" w:hAnsi="Times New Roman" w:eastAsia="仿宋_GB2312" w:cs="Times New Roman"/>
          <w:sz w:val="32"/>
          <w:szCs w:val="32"/>
          <w:highlight w:val="none"/>
          <w:lang w:val="en-US" w:eastAsia="zh-CN"/>
        </w:rPr>
        <w:t>企业标准《</w:t>
      </w:r>
      <w:r>
        <w:rPr>
          <w:rFonts w:hint="default" w:ascii="Times New Roman" w:hAnsi="Times New Roman" w:eastAsia="仿宋_GB2312" w:cs="Times New Roman"/>
          <w:sz w:val="32"/>
          <w:szCs w:val="32"/>
          <w:highlight w:val="none"/>
          <w:lang w:val="en-US" w:eastAsia="zh-CN"/>
        </w:rPr>
        <w:t>金源牌越橘叶黄素软胶囊</w:t>
      </w:r>
      <w:r>
        <w:rPr>
          <w:rFonts w:hint="eastAsia" w:ascii="Times New Roman" w:hAnsi="Times New Roman" w:eastAsia="仿宋_GB2312" w:cs="Times New Roman"/>
          <w:sz w:val="32"/>
          <w:szCs w:val="32"/>
          <w:highlight w:val="none"/>
          <w:lang w:val="en-US" w:eastAsia="zh-CN"/>
        </w:rPr>
        <w:t>》（Q/AJSY 0175S</w:t>
      </w:r>
      <w:r>
        <w:rPr>
          <w:rFonts w:hint="eastAsia" w:ascii="仿宋_GB2312" w:hAnsi="仿宋_GB2312" w:eastAsia="仿宋_GB2312" w:cs="仿宋_GB2312"/>
          <w:sz w:val="32"/>
          <w:szCs w:val="32"/>
          <w:highlight w:val="none"/>
        </w:rPr>
        <w:t>—</w:t>
      </w:r>
      <w:r>
        <w:rPr>
          <w:rFonts w:hint="eastAsia" w:ascii="Times New Roman" w:hAnsi="Times New Roman" w:eastAsia="仿宋_GB2312" w:cs="Times New Roman"/>
          <w:sz w:val="32"/>
          <w:szCs w:val="32"/>
          <w:highlight w:val="none"/>
          <w:lang w:val="en-US" w:eastAsia="zh-CN"/>
        </w:rPr>
        <w:t>2023）中规定，产品中锌的含量应在0.34—0.56g/100g范围内。保健食品中</w:t>
      </w:r>
      <w:r>
        <w:rPr>
          <w:rFonts w:hint="default" w:ascii="Times New Roman" w:hAnsi="Times New Roman" w:eastAsia="仿宋_GB2312" w:cs="Times New Roman"/>
          <w:sz w:val="32"/>
          <w:szCs w:val="32"/>
          <w:highlight w:val="none"/>
          <w:lang w:val="en-US" w:eastAsia="zh-CN"/>
        </w:rPr>
        <w:t>锌含量不达标的原因</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可能是食品营养强化剂原料不符合质量要求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也可能是企业未按产品执行标准要求进行添加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highlight w:val="none"/>
        </w:rPr>
        <w:t>还可能是生产加工过程中搅拌不均匀。</w:t>
      </w:r>
    </w:p>
    <w:p>
      <w:pPr>
        <w:pStyle w:val="9"/>
        <w:keepNext w:val="0"/>
        <w:keepLines w:val="0"/>
        <w:pageBreakBefore w:val="0"/>
        <w:widowControl w:val="0"/>
        <w:kinsoku/>
        <w:wordWrap/>
        <w:overflowPunct/>
        <w:topLinePunct w:val="0"/>
        <w:bidi w:val="0"/>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color w:val="auto"/>
          <w:spacing w:val="0"/>
          <w:sz w:val="32"/>
          <w:szCs w:val="32"/>
          <w:highlight w:val="none"/>
          <w:lang w:val="en-US" w:eastAsia="zh-CN"/>
        </w:rPr>
        <w:t>二十</w:t>
      </w:r>
      <w:r>
        <w:rPr>
          <w:rFonts w:hint="eastAsia" w:ascii="Times New Roman" w:hAnsi="Times New Roman" w:eastAsia="黑体" w:cs="Times New Roman"/>
          <w:color w:val="auto"/>
          <w:spacing w:val="0"/>
          <w:sz w:val="32"/>
          <w:szCs w:val="32"/>
          <w:highlight w:val="none"/>
          <w:lang w:val="en-US" w:eastAsia="zh-CN"/>
        </w:rPr>
        <w:t>三</w:t>
      </w:r>
      <w:r>
        <w:rPr>
          <w:rFonts w:hint="default" w:ascii="Times New Roman" w:hAnsi="Times New Roman" w:eastAsia="黑体" w:cs="Times New Roman"/>
          <w:color w:val="auto"/>
          <w:spacing w:val="0"/>
          <w:sz w:val="32"/>
          <w:szCs w:val="32"/>
          <w:highlight w:val="none"/>
          <w:lang w:val="en-US" w:eastAsia="zh-CN"/>
        </w:rPr>
        <w:t>、</w:t>
      </w:r>
      <w:r>
        <w:rPr>
          <w:rFonts w:hint="eastAsia" w:ascii="Times New Roman" w:hAnsi="Times New Roman" w:eastAsia="黑体" w:cs="Times New Roman"/>
          <w:spacing w:val="0"/>
          <w:sz w:val="32"/>
          <w:szCs w:val="32"/>
          <w:lang w:val="en-US" w:eastAsia="zh-CN"/>
        </w:rPr>
        <w:t>维生素A</w:t>
      </w:r>
    </w:p>
    <w:p>
      <w:pPr>
        <w:pStyle w:val="9"/>
        <w:adjustRightInd/>
        <w:spacing w:after="0" w:line="594" w:lineRule="exact"/>
        <w:ind w:firstLine="0"/>
        <w:rPr>
          <w:rFonts w:hint="default"/>
          <w:color w:val="auto"/>
          <w:sz w:val="32"/>
          <w:szCs w:val="32"/>
          <w:highlight w:val="none"/>
          <w:lang w:val="en-US" w:eastAsia="zh-CN"/>
        </w:rPr>
      </w:pPr>
      <w:r>
        <w:rPr>
          <w:rFonts w:hint="default" w:ascii="Times New Roman" w:hAnsi="Times New Roman" w:eastAsia="仿宋_GB2312" w:cs="Times New Roman"/>
          <w:sz w:val="32"/>
          <w:szCs w:val="32"/>
          <w:lang w:val="en-US" w:eastAsia="zh-CN"/>
        </w:rPr>
        <w:t>维生素A是一种脂溶性维生素，在人体代谢过程中发挥重要作用。维生素A缺乏可能引起夜盲症、干眼症等眼部症状，还可能会导致食欲减退、免疫功能低下。《食品安全国家标准 孕妇及乳母营养补充食品》（GB 31601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2015）中规定，孕妇及乳母营养补充食品中维生素A含量（以每日计）应在400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700μg范围内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孕妇及乳母营养补充食品中维生素A含量不达标的原因，可能是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r>
        <w:rPr>
          <w:rFonts w:hint="default" w:ascii="Times New Roman" w:hAnsi="Times New Roman" w:eastAsia="仿宋_GB2312" w:cs="Times New Roman"/>
          <w:sz w:val="32"/>
          <w:szCs w:val="32"/>
          <w:lang w:eastAsia="zh-CN"/>
        </w:rPr>
        <w:t>。</w:t>
      </w:r>
    </w:p>
    <w:p>
      <w:pPr>
        <w:pStyle w:val="9"/>
        <w:keepNext w:val="0"/>
        <w:keepLines w:val="0"/>
        <w:pageBreakBefore w:val="0"/>
        <w:widowControl w:val="0"/>
        <w:kinsoku/>
        <w:wordWrap/>
        <w:overflowPunct/>
        <w:topLinePunct w:val="0"/>
        <w:bidi w:val="0"/>
        <w:snapToGrid/>
        <w:spacing w:after="0" w:line="594" w:lineRule="exact"/>
        <w:textAlignment w:val="auto"/>
        <w:rPr>
          <w:rFonts w:hint="default" w:ascii="Times New Roman" w:hAnsi="Times New Roman" w:eastAsia="黑体" w:cs="Times New Roman"/>
          <w:spacing w:val="0"/>
          <w:kern w:val="2"/>
          <w:sz w:val="32"/>
          <w:szCs w:val="32"/>
          <w:lang w:val="en-US" w:eastAsia="zh-CN" w:bidi="ar-SA"/>
        </w:rPr>
      </w:pPr>
      <w:r>
        <w:rPr>
          <w:rFonts w:hint="eastAsia" w:ascii="黑体" w:hAnsi="黑体" w:eastAsia="黑体" w:cs="黑体"/>
          <w:color w:val="auto"/>
          <w:spacing w:val="0"/>
          <w:sz w:val="32"/>
          <w:szCs w:val="32"/>
          <w:highlight w:val="none"/>
          <w:lang w:val="en-US" w:eastAsia="zh-CN"/>
        </w:rPr>
        <w:t>二十四、</w:t>
      </w:r>
      <w:r>
        <w:rPr>
          <w:rFonts w:hint="default" w:ascii="Times New Roman" w:hAnsi="Times New Roman" w:eastAsia="黑体" w:cs="Times New Roman"/>
          <w:spacing w:val="0"/>
          <w:kern w:val="2"/>
          <w:sz w:val="32"/>
          <w:szCs w:val="32"/>
          <w:lang w:val="en-US" w:eastAsia="zh-CN" w:bidi="ar-SA"/>
        </w:rPr>
        <w:t>维生素E</w:t>
      </w:r>
    </w:p>
    <w:p>
      <w:pPr>
        <w:pStyle w:val="9"/>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维生素E又名生育酚，是一种重要的脂溶性抗氧化剂。维生素E缺乏可能会导致神经肌肉障碍等。《食品安全国家标准 孕妇及乳母营养补充食品》（GB 31601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2015）中规定，孕妇及乳母营养补充食品中维生素E含量（以每日计）应在5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14mg α-TE范围内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孕妇及乳母营养补充食品中维生素E含量不达标的原因，可能是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val="en-US" w:eastAsia="zh-CN"/>
        </w:rPr>
        <w:t>符合质量要求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pStyle w:val="9"/>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二十五、</w:t>
      </w:r>
      <w:r>
        <w:rPr>
          <w:rFonts w:hint="default" w:ascii="Times New Roman" w:hAnsi="Times New Roman" w:eastAsia="黑体" w:cs="Times New Roman"/>
          <w:spacing w:val="0"/>
          <w:sz w:val="32"/>
          <w:szCs w:val="32"/>
          <w:lang w:val="en-US" w:eastAsia="zh-CN"/>
        </w:rPr>
        <w:t>烟酸</w:t>
      </w:r>
    </w:p>
    <w:p>
      <w:pPr>
        <w:pStyle w:val="9"/>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22"/>
          <w:lang w:val="en-US" w:eastAsia="zh-CN" w:bidi="ar-SA"/>
        </w:rPr>
        <w:t>烟酸是一种B族维生素，可参与人体内物质和能量代谢，在维持皮肤和消化器官正常功能中起重要作用。烟酸缺乏可能会引起糙皮病或癞皮病。</w:t>
      </w:r>
      <w:r>
        <w:rPr>
          <w:rFonts w:hint="default" w:ascii="Times New Roman" w:hAnsi="Times New Roman" w:eastAsia="仿宋_GB2312" w:cs="Times New Roman"/>
          <w:sz w:val="32"/>
          <w:szCs w:val="32"/>
          <w:lang w:val="en-US" w:eastAsia="zh-CN"/>
        </w:rPr>
        <w:t>《食品安全国家标准 孕妇及乳母营养补充食品》（GB 31601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w:t>
      </w:r>
      <w:r>
        <w:rPr>
          <w:rFonts w:hint="eastAsia" w:ascii="Times New Roman" w:hAnsi="Times New Roman" w:eastAsia="仿宋_GB2312" w:cs="Times New Roman"/>
          <w:sz w:val="32"/>
          <w:szCs w:val="32"/>
          <w:lang w:val="en-US" w:eastAsia="zh-CN"/>
        </w:rPr>
        <w:t>烟酸</w:t>
      </w:r>
      <w:r>
        <w:rPr>
          <w:rFonts w:hint="default" w:ascii="Times New Roman" w:hAnsi="Times New Roman" w:eastAsia="仿宋_GB2312" w:cs="Times New Roman"/>
          <w:sz w:val="32"/>
          <w:szCs w:val="32"/>
          <w:lang w:val="en-US" w:eastAsia="zh-CN"/>
        </w:rPr>
        <w:t>含量（以每日计）应在</w:t>
      </w:r>
      <w:r>
        <w:rPr>
          <w:rFonts w:hint="eastAsia" w:ascii="Times New Roman" w:hAnsi="Times New Roman" w:eastAsia="仿宋_GB2312" w:cs="Times New Roman"/>
          <w:sz w:val="32"/>
          <w:szCs w:val="32"/>
          <w:lang w:val="en-US" w:eastAsia="zh-CN"/>
        </w:rPr>
        <w:t>6.0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.0mg范围内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2013）中规定，在产品保质期内，能量和营养成分的实际含量不应低于标示值的80%。孕妇及乳母营养补充食品中烟酸</w:t>
      </w:r>
      <w:r>
        <w:rPr>
          <w:rFonts w:hint="default" w:ascii="Times New Roman" w:hAnsi="Times New Roman" w:eastAsia="仿宋_GB2312" w:cs="Times New Roman"/>
          <w:kern w:val="2"/>
          <w:sz w:val="32"/>
          <w:szCs w:val="22"/>
          <w:lang w:val="en-US" w:eastAsia="zh-CN" w:bidi="ar-SA"/>
        </w:rPr>
        <w:t>含量不达标的原因，</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val="en-US" w:eastAsia="zh-CN"/>
        </w:rPr>
        <w:t>符合质量要求；也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r>
        <w:rPr>
          <w:rFonts w:hint="default" w:ascii="Times New Roman" w:hAnsi="Times New Roman" w:eastAsia="仿宋_GB2312" w:cs="Times New Roman"/>
          <w:kern w:val="2"/>
          <w:sz w:val="32"/>
          <w:szCs w:val="22"/>
          <w:lang w:val="en-US" w:eastAsia="zh-CN" w:bidi="ar-SA"/>
        </w:rPr>
        <w:t>。</w:t>
      </w:r>
    </w:p>
    <w:p>
      <w:pPr>
        <w:pStyle w:val="9"/>
        <w:keepNext w:val="0"/>
        <w:keepLines w:val="0"/>
        <w:pageBreakBefore w:val="0"/>
        <w:widowControl w:val="0"/>
        <w:kinsoku/>
        <w:wordWrap/>
        <w:overflowPunct/>
        <w:topLinePunct w:val="0"/>
        <w:bidi w:val="0"/>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二十六、</w:t>
      </w:r>
      <w:r>
        <w:rPr>
          <w:rFonts w:hint="default" w:ascii="Times New Roman" w:hAnsi="Times New Roman" w:eastAsia="黑体" w:cs="Times New Roman"/>
          <w:spacing w:val="0"/>
          <w:sz w:val="32"/>
          <w:szCs w:val="32"/>
          <w:lang w:val="en-US" w:eastAsia="zh-CN"/>
        </w:rPr>
        <w:t>泛酸</w:t>
      </w:r>
    </w:p>
    <w:p>
      <w:pPr>
        <w:pStyle w:val="9"/>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泛酸又称维生素B</w:t>
      </w:r>
      <w:r>
        <w:rPr>
          <w:rFonts w:hint="default" w:ascii="Times New Roman" w:hAnsi="Times New Roman" w:eastAsia="仿宋_GB2312" w:cs="Times New Roman"/>
          <w:sz w:val="32"/>
          <w:szCs w:val="32"/>
          <w:vertAlign w:val="subscript"/>
          <w:lang w:val="en-US" w:eastAsia="zh-CN"/>
        </w:rPr>
        <w:t>5</w:t>
      </w:r>
      <w:r>
        <w:rPr>
          <w:rFonts w:hint="default" w:ascii="Times New Roman" w:hAnsi="Times New Roman" w:eastAsia="仿宋_GB2312" w:cs="Times New Roman"/>
          <w:sz w:val="32"/>
          <w:szCs w:val="32"/>
          <w:lang w:val="en-US" w:eastAsia="zh-CN"/>
        </w:rPr>
        <w:t>，是一种水溶性维生素，可以构成辅酶A和酰基载体蛋白，在人体代谢中发挥作用。泛酸缺乏可能会引起食欲减退、消化不良、疲倦无力等。《食品安全国家标准 孕妇及乳母营养补充食品》（GB 31601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2015）中规定，孕妇及乳母营养补充食品中泛酸含量（以每日计）应在2.8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12.0mg范围内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2013）中规定，在产品保质期内，能量和营养成分的实际含量不应低于标示值的80%。孕妇及乳母营养补充食品中</w:t>
      </w:r>
      <w:r>
        <w:rPr>
          <w:rFonts w:hint="default" w:ascii="Times New Roman" w:hAnsi="Times New Roman" w:eastAsia="仿宋_GB2312" w:cs="Times New Roman"/>
          <w:sz w:val="32"/>
          <w:lang w:val="en-US" w:eastAsia="zh-CN"/>
        </w:rPr>
        <w:t>泛酸含量</w:t>
      </w:r>
      <w:r>
        <w:rPr>
          <w:rFonts w:hint="default" w:ascii="Times New Roman" w:hAnsi="Times New Roman" w:eastAsia="仿宋_GB2312" w:cs="Times New Roman"/>
          <w:sz w:val="32"/>
        </w:rPr>
        <w:t>不达标的原因，</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val="en-US" w:eastAsia="zh-CN"/>
        </w:rPr>
        <w:t>符合质量要求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12"/>
          <w:sz w:val="32"/>
          <w:szCs w:val="32"/>
          <w:lang w:val="en-US" w:eastAsia="zh-CN"/>
        </w:rPr>
        <w:t>二十七</w:t>
      </w:r>
      <w:r>
        <w:rPr>
          <w:rFonts w:hint="default" w:ascii="Times New Roman" w:hAnsi="Times New Roman" w:eastAsia="黑体" w:cs="Times New Roman"/>
          <w:spacing w:val="-12"/>
          <w:sz w:val="32"/>
          <w:szCs w:val="32"/>
          <w:lang w:val="en-US" w:eastAsia="zh-CN"/>
        </w:rPr>
        <w:t>、</w:t>
      </w:r>
      <w:r>
        <w:rPr>
          <w:rFonts w:hint="default" w:ascii="Times New Roman" w:hAnsi="Times New Roman" w:eastAsia="黑体" w:cs="Times New Roman"/>
          <w:spacing w:val="0"/>
          <w:sz w:val="32"/>
          <w:szCs w:val="32"/>
          <w:lang w:val="en-US" w:eastAsia="zh-CN"/>
        </w:rPr>
        <w:t>维生素B</w:t>
      </w:r>
      <w:r>
        <w:rPr>
          <w:rFonts w:hint="default" w:ascii="Times New Roman" w:hAnsi="Times New Roman" w:eastAsia="黑体" w:cs="Times New Roman"/>
          <w:spacing w:val="0"/>
          <w:sz w:val="32"/>
          <w:szCs w:val="32"/>
          <w:vertAlign w:val="subscript"/>
          <w:lang w:val="en-US" w:eastAsia="zh-CN"/>
        </w:rPr>
        <w:t>1</w:t>
      </w:r>
    </w:p>
    <w:p>
      <w:pPr>
        <w:autoSpaceDE w:val="0"/>
        <w:autoSpaceDN w:val="0"/>
        <w:adjustRightInd w:val="0"/>
        <w:spacing w:line="594"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1</w:t>
      </w:r>
      <w:r>
        <w:rPr>
          <w:rFonts w:hint="default" w:ascii="Times New Roman" w:hAnsi="Times New Roman" w:eastAsia="仿宋_GB2312" w:cs="Times New Roman"/>
          <w:kern w:val="2"/>
          <w:sz w:val="32"/>
          <w:szCs w:val="32"/>
          <w:lang w:val="en-US" w:eastAsia="zh-CN" w:bidi="ar-SA"/>
        </w:rPr>
        <w:t>是一种水溶性维生素，能够参与人体内能量代谢，</w:t>
      </w:r>
      <w:r>
        <w:rPr>
          <w:rFonts w:hint="default" w:ascii="Times New Roman" w:hAnsi="Times New Roman" w:eastAsia="仿宋_GB2312" w:cs="Times New Roman"/>
          <w:kern w:val="2"/>
          <w:sz w:val="32"/>
          <w:szCs w:val="32"/>
          <w:highlight w:val="none"/>
          <w:lang w:val="en-US" w:eastAsia="zh-CN" w:bidi="ar-SA"/>
        </w:rPr>
        <w:t>对维持神经、肌肉特别是心肌正常功能方面有重要作用。维生素B</w:t>
      </w:r>
      <w:r>
        <w:rPr>
          <w:rFonts w:hint="default" w:ascii="Times New Roman" w:hAnsi="Times New Roman" w:eastAsia="仿宋_GB2312" w:cs="Times New Roman"/>
          <w:kern w:val="2"/>
          <w:sz w:val="32"/>
          <w:szCs w:val="32"/>
          <w:highlight w:val="none"/>
          <w:vertAlign w:val="subscript"/>
          <w:lang w:val="en-US" w:eastAsia="zh-CN" w:bidi="ar-SA"/>
        </w:rPr>
        <w:t>1</w:t>
      </w:r>
      <w:r>
        <w:rPr>
          <w:rFonts w:hint="default" w:ascii="Times New Roman" w:hAnsi="Times New Roman" w:eastAsia="仿宋_GB2312" w:cs="Times New Roman"/>
          <w:kern w:val="2"/>
          <w:sz w:val="32"/>
          <w:szCs w:val="32"/>
          <w:highlight w:val="none"/>
          <w:lang w:val="en-US" w:eastAsia="zh-CN" w:bidi="ar-SA"/>
        </w:rPr>
        <w:t>缺乏容易导致人体产生疲劳、食欲不振，还可能引起脚气病等神经-血管系统损伤</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《食品安全国家标准 孕妇及乳母营养补充食品》（GB 31601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含量（以每日计）应在0.6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2.8mg范围内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孕妇及乳母营养补充食品中维生素B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w:t>
      </w:r>
      <w:r>
        <w:rPr>
          <w:rFonts w:hint="default" w:ascii="Times New Roman" w:hAnsi="Times New Roman" w:eastAsia="仿宋_GB2312" w:cs="Times New Roman"/>
          <w:sz w:val="32"/>
          <w:szCs w:val="32"/>
        </w:rPr>
        <w:t>可能是在加工或储存过程中损失。</w:t>
      </w:r>
    </w:p>
    <w:p>
      <w:pPr>
        <w:pStyle w:val="9"/>
        <w:keepNext w:val="0"/>
        <w:keepLines w:val="0"/>
        <w:pageBreakBefore w:val="0"/>
        <w:widowControl w:val="0"/>
        <w:kinsoku/>
        <w:wordWrap/>
        <w:overflowPunct/>
        <w:topLinePunct w:val="0"/>
        <w:bidi w:val="0"/>
        <w:snapToGrid/>
        <w:spacing w:after="0" w:line="594" w:lineRule="exact"/>
        <w:ind w:firstLine="592"/>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kern w:val="2"/>
          <w:sz w:val="32"/>
          <w:szCs w:val="32"/>
          <w:lang w:val="en-US" w:eastAsia="zh-CN" w:bidi="ar-SA"/>
        </w:rPr>
        <w:t>二十八</w:t>
      </w:r>
      <w:r>
        <w:rPr>
          <w:rFonts w:hint="default" w:ascii="Times New Roman" w:hAnsi="Times New Roman" w:eastAsia="黑体" w:cs="Times New Roman"/>
          <w:kern w:val="2"/>
          <w:sz w:val="32"/>
          <w:szCs w:val="32"/>
          <w:lang w:val="en-US" w:eastAsia="zh-CN" w:bidi="ar-SA"/>
        </w:rPr>
        <w:t>、</w:t>
      </w:r>
      <w:r>
        <w:rPr>
          <w:rFonts w:hint="default" w:ascii="Times New Roman" w:hAnsi="Times New Roman" w:eastAsia="黑体" w:cs="Times New Roman"/>
          <w:spacing w:val="0"/>
          <w:sz w:val="32"/>
          <w:szCs w:val="32"/>
          <w:lang w:val="en-US" w:eastAsia="zh-CN"/>
        </w:rPr>
        <w:t>维生素B</w:t>
      </w:r>
      <w:r>
        <w:rPr>
          <w:rFonts w:hint="default" w:ascii="Times New Roman" w:hAnsi="Times New Roman" w:eastAsia="黑体" w:cs="Times New Roman"/>
          <w:spacing w:val="0"/>
          <w:sz w:val="32"/>
          <w:szCs w:val="32"/>
          <w:vertAlign w:val="subscript"/>
          <w:lang w:val="en-US" w:eastAsia="zh-CN"/>
        </w:rPr>
        <w:t>6</w:t>
      </w:r>
    </w:p>
    <w:p>
      <w:pPr>
        <w:pStyle w:val="9"/>
        <w:keepNext w:val="0"/>
        <w:keepLines w:val="0"/>
        <w:pageBreakBefore w:val="0"/>
        <w:widowControl w:val="0"/>
        <w:numPr>
          <w:ilvl w:val="0"/>
          <w:numId w:val="0"/>
        </w:numPr>
        <w:kinsoku/>
        <w:wordWrap/>
        <w:overflowPunct/>
        <w:topLinePunct w:val="0"/>
        <w:bidi w:val="0"/>
        <w:adjustRightInd/>
        <w:snapToGrid/>
        <w:spacing w:after="0"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是一种水溶性维生素，参与人体内多种物质及能量代谢。长期缺乏维生素B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可能引起脂溢性皮炎、免疫功能降低等。《食品安全国家标准 孕妇及乳母营养补充食品》（GB 31601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含量（以每日计）应在0.9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3.4mg范围内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孕妇及乳母营养补充食品中维生素B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pStyle w:val="9"/>
        <w:keepNext w:val="0"/>
        <w:keepLines w:val="0"/>
        <w:pageBreakBefore w:val="0"/>
        <w:widowControl w:val="0"/>
        <w:kinsoku/>
        <w:wordWrap/>
        <w:overflowPunct/>
        <w:topLinePunct w:val="0"/>
        <w:autoSpaceDE/>
        <w:autoSpaceDN/>
        <w:bidi w:val="0"/>
        <w:adjustRightInd/>
        <w:snapToGrid/>
        <w:spacing w:after="0" w:line="594" w:lineRule="exact"/>
        <w:ind w:leftChars="0" w:firstLine="640" w:firstLineChars="200"/>
        <w:jc w:val="both"/>
        <w:textAlignment w:val="auto"/>
        <w:rPr>
          <w:rFonts w:hint="eastAsia" w:ascii="Times New Roman" w:hAnsi="Times New Roman" w:eastAsia="黑体" w:cs="Times New Roman"/>
          <w:color w:val="auto"/>
          <w:spacing w:val="-12"/>
          <w:kern w:val="2"/>
          <w:sz w:val="32"/>
          <w:szCs w:val="32"/>
          <w:highlight w:val="none"/>
          <w:lang w:val="en-US" w:eastAsia="zh-CN" w:bidi="ar-SA"/>
        </w:rPr>
      </w:pPr>
      <w:r>
        <w:rPr>
          <w:rFonts w:hint="eastAsia" w:ascii="Times New Roman" w:hAnsi="Times New Roman" w:eastAsia="黑体" w:cs="Times New Roman"/>
          <w:spacing w:val="0"/>
          <w:sz w:val="32"/>
          <w:szCs w:val="32"/>
          <w:lang w:val="en-US" w:eastAsia="zh-CN"/>
        </w:rPr>
        <w:t>二十九</w:t>
      </w:r>
      <w:r>
        <w:rPr>
          <w:rFonts w:hint="default" w:ascii="Times New Roman" w:hAnsi="Times New Roman" w:eastAsia="黑体" w:cs="Times New Roman"/>
          <w:spacing w:val="0"/>
          <w:sz w:val="32"/>
          <w:szCs w:val="32"/>
          <w:lang w:val="en-US" w:eastAsia="zh-CN"/>
        </w:rPr>
        <w:t>、</w:t>
      </w:r>
      <w:r>
        <w:rPr>
          <w:rFonts w:hint="eastAsia" w:ascii="Times New Roman" w:hAnsi="Times New Roman" w:eastAsia="黑体" w:cs="Times New Roman"/>
          <w:color w:val="auto"/>
          <w:spacing w:val="-12"/>
          <w:kern w:val="2"/>
          <w:sz w:val="32"/>
          <w:szCs w:val="32"/>
          <w:highlight w:val="none"/>
          <w:lang w:val="en-US" w:eastAsia="zh-CN" w:bidi="ar-SA"/>
        </w:rPr>
        <w:t>蛋白质</w:t>
      </w:r>
    </w:p>
    <w:p>
      <w:pPr>
        <w:pStyle w:val="9"/>
        <w:keepNext w:val="0"/>
        <w:keepLines w:val="0"/>
        <w:pageBreakBefore w:val="0"/>
        <w:widowControl w:val="0"/>
        <w:kinsoku/>
        <w:wordWrap/>
        <w:overflowPunct/>
        <w:topLinePunct w:val="0"/>
        <w:autoSpaceDE/>
        <w:autoSpaceDN/>
        <w:bidi w:val="0"/>
        <w:adjustRightInd/>
        <w:snapToGrid/>
        <w:spacing w:after="0" w:line="594"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highlight w:val="none"/>
          <w:lang w:val="en-US" w:eastAsia="zh-CN"/>
        </w:rPr>
        <w:t>蛋白质是由氨基酸以肽键连接在一起，并形成一定空间结构的高分子有机化合物。蛋白质是构成机体组织、器官的重要成分，是构成机体多种重要生理活性物质的成分，还能供给能量。长期摄入蛋白质不足可能会导致营养不良、抵抗力下降。</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阿尔卑斯生椰牛乳</w:t>
      </w:r>
      <w:r>
        <w:rPr>
          <w:rFonts w:hint="eastAsia" w:ascii="Times New Roman" w:hAnsi="Times New Roman" w:eastAsia="仿宋_GB2312" w:cs="Times New Roman"/>
          <w:color w:val="auto"/>
          <w:sz w:val="32"/>
          <w:szCs w:val="32"/>
          <w:highlight w:val="none"/>
          <w:lang w:val="en-US" w:eastAsia="zh-CN"/>
        </w:rPr>
        <w:t>”产品中蛋白质含量不符合产品标签标示要求“蛋白质含量≥0.6g/100mL”</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蛋白饮料</w:t>
      </w:r>
      <w:r>
        <w:rPr>
          <w:rFonts w:hint="default" w:ascii="Times New Roman" w:hAnsi="Times New Roman" w:eastAsia="仿宋_GB2312" w:cs="Times New Roman"/>
          <w:color w:val="auto"/>
          <w:sz w:val="32"/>
          <w:szCs w:val="32"/>
          <w:highlight w:val="none"/>
          <w:lang w:val="en-US" w:eastAsia="zh-CN"/>
        </w:rPr>
        <w:t>中蛋白质含量不达标的原因，可能是原辅料质量控制不严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也可能是企业未进行严格的出厂检验保证产品质量。</w:t>
      </w:r>
    </w:p>
    <w:p>
      <w:pPr>
        <w:pStyle w:val="9"/>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highlight w:val="none"/>
          <w:lang w:val="en-US" w:eastAsia="zh-CN"/>
        </w:rPr>
        <w:t>三十、</w:t>
      </w:r>
      <w:r>
        <w:rPr>
          <w:rFonts w:hint="default" w:ascii="Times New Roman" w:hAnsi="Times New Roman" w:eastAsia="黑体" w:cs="Times New Roman"/>
          <w:spacing w:val="0"/>
          <w:sz w:val="32"/>
          <w:szCs w:val="32"/>
          <w:lang w:val="en-US" w:eastAsia="zh-CN"/>
        </w:rPr>
        <w:t>铁</w:t>
      </w:r>
    </w:p>
    <w:p>
      <w:pPr>
        <w:pStyle w:val="9"/>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铁是人体必需的微量元素。长期铁摄入不足可能会引起体内铁缺乏或导致缺铁性贫血。《食品安全国家标准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2015）中规定，运动营养食品中铁含量（以每日计）应在2.3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14mg范围内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2013）中规定，在产品保质期内，能量和营养成分的实际含量不应低于标示值的80%。运动营养食品中铁含量不达标的原因，可能是原辅料用食品营养强化剂不符合质量要求；也可能是生产加工过程中搅拌不均匀。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三十一、</w:t>
      </w:r>
      <w:r>
        <w:rPr>
          <w:rFonts w:hint="default" w:ascii="Times New Roman" w:hAnsi="Times New Roman" w:eastAsia="黑体" w:cs="Times New Roman"/>
          <w:spacing w:val="0"/>
          <w:sz w:val="32"/>
          <w:szCs w:val="32"/>
          <w:lang w:val="en-US" w:eastAsia="zh-CN"/>
        </w:rPr>
        <w:t>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钠是人体必需的常量元素，钠离子在体内有助于维持渗透压和酸碱平衡，协助生理功能正常运作。钠缺乏可能会导致食欲减退、倦怠、恶心呕吐、血压降低等。《食品安全国家标准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2015）中规定，没有特别添加钠营养素的运动营养食品中钠的最大含量（以每日计）为1600mg</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2013）中规定，在产品保质期内，能量和营养成分的实际含量不应低于标示值的80%。运动营养食品中钠含量不达标的原因，可能是生产工艺不合理；也可能是产品标签标注不规范。</w:t>
      </w:r>
    </w:p>
    <w:p>
      <w:pPr>
        <w:pStyle w:val="9"/>
        <w:keepNext w:val="0"/>
        <w:keepLines w:val="0"/>
        <w:pageBreakBefore w:val="0"/>
        <w:widowControl w:val="0"/>
        <w:kinsoku/>
        <w:wordWrap/>
        <w:overflowPunct/>
        <w:topLinePunct w:val="0"/>
        <w:bidi w:val="0"/>
        <w:adjustRightInd/>
        <w:snapToGrid/>
        <w:spacing w:after="0" w:line="240" w:lineRule="auto"/>
        <w:textAlignment w:val="auto"/>
        <w:rPr>
          <w:rFonts w:hint="default" w:ascii="Times New Roman" w:hAnsi="Times New Roman" w:eastAsia="仿宋_GB2312" w:cs="Times New Roman"/>
          <w:sz w:val="32"/>
          <w:szCs w:val="32"/>
          <w:lang w:val="en-US" w:eastAsia="zh-CN"/>
        </w:rPr>
      </w:pPr>
    </w:p>
    <w:p>
      <w:pPr>
        <w:pStyle w:val="9"/>
        <w:adjustRightInd/>
        <w:spacing w:after="0" w:line="594" w:lineRule="exact"/>
        <w:ind w:firstLine="640" w:firstLineChars="200"/>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汉仪大宋简">
    <w:panose1 w:val="02010609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lang w:val="zh-CN"/>
      </w:rPr>
    </w:sdtEndPr>
    <w:sdtContent>
      <w:p>
        <w:pPr>
          <w:pStyle w:val="5"/>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54EE8"/>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130978"/>
    <w:rsid w:val="038F0445"/>
    <w:rsid w:val="03A414C8"/>
    <w:rsid w:val="03F93ABC"/>
    <w:rsid w:val="04025BED"/>
    <w:rsid w:val="04294F27"/>
    <w:rsid w:val="043132CE"/>
    <w:rsid w:val="04B16515"/>
    <w:rsid w:val="04C47CFA"/>
    <w:rsid w:val="052446EE"/>
    <w:rsid w:val="052567B4"/>
    <w:rsid w:val="053242B0"/>
    <w:rsid w:val="05462D97"/>
    <w:rsid w:val="05486422"/>
    <w:rsid w:val="055E15B3"/>
    <w:rsid w:val="05907CAB"/>
    <w:rsid w:val="06A61BD4"/>
    <w:rsid w:val="06A71C34"/>
    <w:rsid w:val="06FC4B75"/>
    <w:rsid w:val="070639D0"/>
    <w:rsid w:val="0722265B"/>
    <w:rsid w:val="07265873"/>
    <w:rsid w:val="0780615A"/>
    <w:rsid w:val="07A30962"/>
    <w:rsid w:val="07DA160B"/>
    <w:rsid w:val="07DC16F6"/>
    <w:rsid w:val="081C479D"/>
    <w:rsid w:val="084F41B0"/>
    <w:rsid w:val="089E37AF"/>
    <w:rsid w:val="09227595"/>
    <w:rsid w:val="09FE6495"/>
    <w:rsid w:val="0AAD48BF"/>
    <w:rsid w:val="0AC442D1"/>
    <w:rsid w:val="0ADC3742"/>
    <w:rsid w:val="0B107A4A"/>
    <w:rsid w:val="0B437A81"/>
    <w:rsid w:val="0BAC1F15"/>
    <w:rsid w:val="0BC8771C"/>
    <w:rsid w:val="0BCB7477"/>
    <w:rsid w:val="0BCF39F7"/>
    <w:rsid w:val="0C2A1C3C"/>
    <w:rsid w:val="0C2D133B"/>
    <w:rsid w:val="0C364B74"/>
    <w:rsid w:val="0C476D67"/>
    <w:rsid w:val="0CB80C50"/>
    <w:rsid w:val="0CD40A10"/>
    <w:rsid w:val="0CF0645F"/>
    <w:rsid w:val="0D7B670C"/>
    <w:rsid w:val="0DAC348B"/>
    <w:rsid w:val="0E092D0B"/>
    <w:rsid w:val="0EC81837"/>
    <w:rsid w:val="0EDA7A01"/>
    <w:rsid w:val="0F5238B5"/>
    <w:rsid w:val="0FEB509E"/>
    <w:rsid w:val="0FF5732E"/>
    <w:rsid w:val="0FFF6C37"/>
    <w:rsid w:val="102D3FF1"/>
    <w:rsid w:val="103364D3"/>
    <w:rsid w:val="105542C0"/>
    <w:rsid w:val="10625608"/>
    <w:rsid w:val="108233AD"/>
    <w:rsid w:val="10A511DC"/>
    <w:rsid w:val="10C75499"/>
    <w:rsid w:val="10F93D79"/>
    <w:rsid w:val="111C434C"/>
    <w:rsid w:val="11A245C9"/>
    <w:rsid w:val="11A552D9"/>
    <w:rsid w:val="11AD305F"/>
    <w:rsid w:val="12076629"/>
    <w:rsid w:val="12C90538"/>
    <w:rsid w:val="12D22C2E"/>
    <w:rsid w:val="12F72E14"/>
    <w:rsid w:val="12FD4DF0"/>
    <w:rsid w:val="130B5CD4"/>
    <w:rsid w:val="133001AE"/>
    <w:rsid w:val="134D526F"/>
    <w:rsid w:val="13971551"/>
    <w:rsid w:val="14D86DA1"/>
    <w:rsid w:val="15044CA6"/>
    <w:rsid w:val="156E0206"/>
    <w:rsid w:val="160A5910"/>
    <w:rsid w:val="164A4168"/>
    <w:rsid w:val="16BB447B"/>
    <w:rsid w:val="16E342D2"/>
    <w:rsid w:val="17033CEF"/>
    <w:rsid w:val="1722569F"/>
    <w:rsid w:val="178C1298"/>
    <w:rsid w:val="18B17C05"/>
    <w:rsid w:val="19067FF8"/>
    <w:rsid w:val="195E164B"/>
    <w:rsid w:val="196B1D4E"/>
    <w:rsid w:val="19977A4A"/>
    <w:rsid w:val="19D6063F"/>
    <w:rsid w:val="19DD082F"/>
    <w:rsid w:val="1A907481"/>
    <w:rsid w:val="1AD508F6"/>
    <w:rsid w:val="1AEC7B0C"/>
    <w:rsid w:val="1B03607B"/>
    <w:rsid w:val="1B2E77B1"/>
    <w:rsid w:val="1B3D7278"/>
    <w:rsid w:val="1B7E4CF9"/>
    <w:rsid w:val="1C2A3D09"/>
    <w:rsid w:val="1CCD272D"/>
    <w:rsid w:val="1CD94E78"/>
    <w:rsid w:val="1CE5696D"/>
    <w:rsid w:val="1D513069"/>
    <w:rsid w:val="1D6C2FCD"/>
    <w:rsid w:val="1DA014D7"/>
    <w:rsid w:val="1DA97C4C"/>
    <w:rsid w:val="1DF6698D"/>
    <w:rsid w:val="1E0B5C9C"/>
    <w:rsid w:val="1E1A3721"/>
    <w:rsid w:val="1E37319B"/>
    <w:rsid w:val="1E9157FB"/>
    <w:rsid w:val="1ECF2759"/>
    <w:rsid w:val="1F961D6E"/>
    <w:rsid w:val="1FA03EF4"/>
    <w:rsid w:val="1FCF0608"/>
    <w:rsid w:val="1FF5604A"/>
    <w:rsid w:val="1FF77807"/>
    <w:rsid w:val="203D0B3D"/>
    <w:rsid w:val="20582274"/>
    <w:rsid w:val="2059449C"/>
    <w:rsid w:val="20BC665B"/>
    <w:rsid w:val="20C11697"/>
    <w:rsid w:val="20DF2D7E"/>
    <w:rsid w:val="20E97796"/>
    <w:rsid w:val="21372698"/>
    <w:rsid w:val="215701F0"/>
    <w:rsid w:val="2298310D"/>
    <w:rsid w:val="22E67475"/>
    <w:rsid w:val="239D06F1"/>
    <w:rsid w:val="23D113E8"/>
    <w:rsid w:val="24235EAA"/>
    <w:rsid w:val="24762C28"/>
    <w:rsid w:val="247A6FAA"/>
    <w:rsid w:val="249D47DC"/>
    <w:rsid w:val="25124A75"/>
    <w:rsid w:val="259E23E3"/>
    <w:rsid w:val="26314ACD"/>
    <w:rsid w:val="266C5903"/>
    <w:rsid w:val="26846429"/>
    <w:rsid w:val="269D741C"/>
    <w:rsid w:val="26B71989"/>
    <w:rsid w:val="27584E00"/>
    <w:rsid w:val="275A07ED"/>
    <w:rsid w:val="27894434"/>
    <w:rsid w:val="27B8270D"/>
    <w:rsid w:val="27C43035"/>
    <w:rsid w:val="27CF1A25"/>
    <w:rsid w:val="28501F15"/>
    <w:rsid w:val="28CC6DE2"/>
    <w:rsid w:val="2924792E"/>
    <w:rsid w:val="294A7F7D"/>
    <w:rsid w:val="29F504F1"/>
    <w:rsid w:val="29F8276D"/>
    <w:rsid w:val="29FB7D70"/>
    <w:rsid w:val="2A4672BA"/>
    <w:rsid w:val="2A53594F"/>
    <w:rsid w:val="2A6F4459"/>
    <w:rsid w:val="2ABF7615"/>
    <w:rsid w:val="2AEB7548"/>
    <w:rsid w:val="2AF42F2E"/>
    <w:rsid w:val="2B23189E"/>
    <w:rsid w:val="2BCB7237"/>
    <w:rsid w:val="2BD07C59"/>
    <w:rsid w:val="2C1205D9"/>
    <w:rsid w:val="2CD74E22"/>
    <w:rsid w:val="2CE70F66"/>
    <w:rsid w:val="2D64060D"/>
    <w:rsid w:val="2D7D16EA"/>
    <w:rsid w:val="2DA62CE5"/>
    <w:rsid w:val="2E1F3F87"/>
    <w:rsid w:val="2E25104B"/>
    <w:rsid w:val="2E4243E1"/>
    <w:rsid w:val="2ECD0714"/>
    <w:rsid w:val="2F033EB0"/>
    <w:rsid w:val="2F197EB6"/>
    <w:rsid w:val="2F2C68FC"/>
    <w:rsid w:val="2F712A79"/>
    <w:rsid w:val="2F9A4E1E"/>
    <w:rsid w:val="2F9B35E3"/>
    <w:rsid w:val="2FDD066F"/>
    <w:rsid w:val="2FF4710F"/>
    <w:rsid w:val="302C3947"/>
    <w:rsid w:val="30706BFB"/>
    <w:rsid w:val="30730D18"/>
    <w:rsid w:val="308001C6"/>
    <w:rsid w:val="30AC7B38"/>
    <w:rsid w:val="31252E3F"/>
    <w:rsid w:val="318B5860"/>
    <w:rsid w:val="31B405DF"/>
    <w:rsid w:val="31FD11FC"/>
    <w:rsid w:val="32A67649"/>
    <w:rsid w:val="33844E91"/>
    <w:rsid w:val="339A091A"/>
    <w:rsid w:val="33BA14BA"/>
    <w:rsid w:val="34151A1C"/>
    <w:rsid w:val="342D7174"/>
    <w:rsid w:val="34516D2E"/>
    <w:rsid w:val="34B86E31"/>
    <w:rsid w:val="34DB4439"/>
    <w:rsid w:val="34F97B15"/>
    <w:rsid w:val="358F3E74"/>
    <w:rsid w:val="35AE42B6"/>
    <w:rsid w:val="35B553BC"/>
    <w:rsid w:val="35EC612F"/>
    <w:rsid w:val="36256509"/>
    <w:rsid w:val="36AD5E36"/>
    <w:rsid w:val="36B30709"/>
    <w:rsid w:val="36BB0136"/>
    <w:rsid w:val="36BB4D35"/>
    <w:rsid w:val="3763411B"/>
    <w:rsid w:val="37E01180"/>
    <w:rsid w:val="37E56DDC"/>
    <w:rsid w:val="37F900FD"/>
    <w:rsid w:val="383F0A08"/>
    <w:rsid w:val="38933D71"/>
    <w:rsid w:val="389D7FD9"/>
    <w:rsid w:val="38AA3B42"/>
    <w:rsid w:val="392A1904"/>
    <w:rsid w:val="392E7281"/>
    <w:rsid w:val="394C2E8B"/>
    <w:rsid w:val="395E00B1"/>
    <w:rsid w:val="39673EBA"/>
    <w:rsid w:val="3A4A0926"/>
    <w:rsid w:val="3A52468E"/>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064ECA"/>
    <w:rsid w:val="3F42581D"/>
    <w:rsid w:val="3FA01312"/>
    <w:rsid w:val="3FED319C"/>
    <w:rsid w:val="401234CD"/>
    <w:rsid w:val="405B301B"/>
    <w:rsid w:val="408B4949"/>
    <w:rsid w:val="40F962F7"/>
    <w:rsid w:val="41025C20"/>
    <w:rsid w:val="411B6563"/>
    <w:rsid w:val="41344E6E"/>
    <w:rsid w:val="4218656A"/>
    <w:rsid w:val="4236267D"/>
    <w:rsid w:val="42590783"/>
    <w:rsid w:val="42843858"/>
    <w:rsid w:val="42BC2694"/>
    <w:rsid w:val="42C6205B"/>
    <w:rsid w:val="43AF5096"/>
    <w:rsid w:val="43ED18D3"/>
    <w:rsid w:val="44120B90"/>
    <w:rsid w:val="446C036D"/>
    <w:rsid w:val="448604CB"/>
    <w:rsid w:val="44921DE2"/>
    <w:rsid w:val="4493451F"/>
    <w:rsid w:val="44CE64DA"/>
    <w:rsid w:val="44DE50C7"/>
    <w:rsid w:val="452A2755"/>
    <w:rsid w:val="45562D9B"/>
    <w:rsid w:val="458C5588"/>
    <w:rsid w:val="45AF268C"/>
    <w:rsid w:val="463A646A"/>
    <w:rsid w:val="46994A91"/>
    <w:rsid w:val="46CC3297"/>
    <w:rsid w:val="471E6356"/>
    <w:rsid w:val="47242D51"/>
    <w:rsid w:val="47D450E7"/>
    <w:rsid w:val="47D93B1F"/>
    <w:rsid w:val="48CD06B6"/>
    <w:rsid w:val="48CE02C4"/>
    <w:rsid w:val="48D63B60"/>
    <w:rsid w:val="48F615AA"/>
    <w:rsid w:val="490A2BDA"/>
    <w:rsid w:val="491E2B74"/>
    <w:rsid w:val="493B6E40"/>
    <w:rsid w:val="494C3F8C"/>
    <w:rsid w:val="494E4E79"/>
    <w:rsid w:val="49500E7F"/>
    <w:rsid w:val="495138DA"/>
    <w:rsid w:val="497763FD"/>
    <w:rsid w:val="49B00079"/>
    <w:rsid w:val="49BD4A24"/>
    <w:rsid w:val="49D57EE1"/>
    <w:rsid w:val="4A2B2399"/>
    <w:rsid w:val="4A612A04"/>
    <w:rsid w:val="4A835AE0"/>
    <w:rsid w:val="4ADC5E51"/>
    <w:rsid w:val="4B5D2CD5"/>
    <w:rsid w:val="4C544655"/>
    <w:rsid w:val="4C904C34"/>
    <w:rsid w:val="4C9204E2"/>
    <w:rsid w:val="4C95329C"/>
    <w:rsid w:val="4CA036CC"/>
    <w:rsid w:val="4CAE2F0F"/>
    <w:rsid w:val="4CB7255F"/>
    <w:rsid w:val="4D2968B7"/>
    <w:rsid w:val="4D5B1BD1"/>
    <w:rsid w:val="4D61085B"/>
    <w:rsid w:val="4D96357F"/>
    <w:rsid w:val="4DF711BF"/>
    <w:rsid w:val="4E196222"/>
    <w:rsid w:val="4E8159AF"/>
    <w:rsid w:val="4ED53EED"/>
    <w:rsid w:val="4EF14EDB"/>
    <w:rsid w:val="4EFB0F58"/>
    <w:rsid w:val="4F69410F"/>
    <w:rsid w:val="4F864951"/>
    <w:rsid w:val="4FAF363F"/>
    <w:rsid w:val="4FDF48D9"/>
    <w:rsid w:val="4FE173F8"/>
    <w:rsid w:val="50147C53"/>
    <w:rsid w:val="509C264D"/>
    <w:rsid w:val="50B25B41"/>
    <w:rsid w:val="50BC54AF"/>
    <w:rsid w:val="514C2084"/>
    <w:rsid w:val="51861C65"/>
    <w:rsid w:val="51B24EEC"/>
    <w:rsid w:val="51B43769"/>
    <w:rsid w:val="51BC1E2A"/>
    <w:rsid w:val="51F05D16"/>
    <w:rsid w:val="528A11AE"/>
    <w:rsid w:val="52A07CC6"/>
    <w:rsid w:val="52F04014"/>
    <w:rsid w:val="52FD335B"/>
    <w:rsid w:val="532062CE"/>
    <w:rsid w:val="533407C0"/>
    <w:rsid w:val="5387412A"/>
    <w:rsid w:val="53FD2F44"/>
    <w:rsid w:val="53FF0DCE"/>
    <w:rsid w:val="54544D6D"/>
    <w:rsid w:val="545804DE"/>
    <w:rsid w:val="548D4260"/>
    <w:rsid w:val="549064CF"/>
    <w:rsid w:val="54D819BB"/>
    <w:rsid w:val="55BF59F4"/>
    <w:rsid w:val="55E05282"/>
    <w:rsid w:val="56110C8E"/>
    <w:rsid w:val="56A276D0"/>
    <w:rsid w:val="56CD4EBA"/>
    <w:rsid w:val="57B03788"/>
    <w:rsid w:val="57F401E5"/>
    <w:rsid w:val="580C5E2D"/>
    <w:rsid w:val="586C779B"/>
    <w:rsid w:val="58873140"/>
    <w:rsid w:val="588C340E"/>
    <w:rsid w:val="58A7355C"/>
    <w:rsid w:val="58EC7F03"/>
    <w:rsid w:val="58F76D4A"/>
    <w:rsid w:val="5917309A"/>
    <w:rsid w:val="592526F4"/>
    <w:rsid w:val="59840098"/>
    <w:rsid w:val="59C949EC"/>
    <w:rsid w:val="59D04F91"/>
    <w:rsid w:val="5AB54607"/>
    <w:rsid w:val="5AB741B0"/>
    <w:rsid w:val="5B035A3A"/>
    <w:rsid w:val="5B3421AF"/>
    <w:rsid w:val="5B7D1719"/>
    <w:rsid w:val="5B9E651D"/>
    <w:rsid w:val="5BE41C7F"/>
    <w:rsid w:val="5BFF1837"/>
    <w:rsid w:val="5C063D09"/>
    <w:rsid w:val="5C435B8D"/>
    <w:rsid w:val="5CC14841"/>
    <w:rsid w:val="5CD643C2"/>
    <w:rsid w:val="5D253771"/>
    <w:rsid w:val="5D3C5BA5"/>
    <w:rsid w:val="5DA1645E"/>
    <w:rsid w:val="5DAE345A"/>
    <w:rsid w:val="5DBB39A0"/>
    <w:rsid w:val="5DBE4F38"/>
    <w:rsid w:val="5E14229A"/>
    <w:rsid w:val="5E38554B"/>
    <w:rsid w:val="5E5431CD"/>
    <w:rsid w:val="5F2065C8"/>
    <w:rsid w:val="5FEB4A4B"/>
    <w:rsid w:val="6051475F"/>
    <w:rsid w:val="6073ECB9"/>
    <w:rsid w:val="611E6C1C"/>
    <w:rsid w:val="613D1EB7"/>
    <w:rsid w:val="61C61E38"/>
    <w:rsid w:val="62331957"/>
    <w:rsid w:val="63213BB4"/>
    <w:rsid w:val="634D1122"/>
    <w:rsid w:val="63BA5678"/>
    <w:rsid w:val="63C45F36"/>
    <w:rsid w:val="64165519"/>
    <w:rsid w:val="643200F6"/>
    <w:rsid w:val="649D4B85"/>
    <w:rsid w:val="64CE046B"/>
    <w:rsid w:val="64D82E8B"/>
    <w:rsid w:val="653E7950"/>
    <w:rsid w:val="65C32FE2"/>
    <w:rsid w:val="661F7A8A"/>
    <w:rsid w:val="66D46B60"/>
    <w:rsid w:val="675A48DF"/>
    <w:rsid w:val="676770CE"/>
    <w:rsid w:val="679E2A0F"/>
    <w:rsid w:val="67FD322B"/>
    <w:rsid w:val="68A74C6B"/>
    <w:rsid w:val="69872FA0"/>
    <w:rsid w:val="69C7211C"/>
    <w:rsid w:val="69D70A50"/>
    <w:rsid w:val="69E34809"/>
    <w:rsid w:val="6AE05AA1"/>
    <w:rsid w:val="6B1E0678"/>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CF7EE0"/>
    <w:rsid w:val="70F00C1D"/>
    <w:rsid w:val="71052DB8"/>
    <w:rsid w:val="71346E5A"/>
    <w:rsid w:val="716B2491"/>
    <w:rsid w:val="71A343C4"/>
    <w:rsid w:val="72404633"/>
    <w:rsid w:val="728D7A35"/>
    <w:rsid w:val="72DC3B2E"/>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773491F"/>
    <w:rsid w:val="77775FE6"/>
    <w:rsid w:val="77DD70DB"/>
    <w:rsid w:val="784B4258"/>
    <w:rsid w:val="78B574BE"/>
    <w:rsid w:val="78BF19EB"/>
    <w:rsid w:val="78FB4BB6"/>
    <w:rsid w:val="79043F06"/>
    <w:rsid w:val="79993017"/>
    <w:rsid w:val="79DE2FF1"/>
    <w:rsid w:val="7A7226AF"/>
    <w:rsid w:val="7A971365"/>
    <w:rsid w:val="7AE837E3"/>
    <w:rsid w:val="7AEF51CB"/>
    <w:rsid w:val="7B081C9A"/>
    <w:rsid w:val="7B0C1162"/>
    <w:rsid w:val="7B344CA7"/>
    <w:rsid w:val="7BAF49F6"/>
    <w:rsid w:val="7BBC107B"/>
    <w:rsid w:val="7BDB4D25"/>
    <w:rsid w:val="7C304413"/>
    <w:rsid w:val="7C3B5127"/>
    <w:rsid w:val="7D750B61"/>
    <w:rsid w:val="7D9B6771"/>
    <w:rsid w:val="7DBD7C50"/>
    <w:rsid w:val="7E0B3EED"/>
    <w:rsid w:val="7E5C2B1F"/>
    <w:rsid w:val="7EC40F71"/>
    <w:rsid w:val="7EF37C31"/>
    <w:rsid w:val="7F056143"/>
    <w:rsid w:val="7F362E0C"/>
    <w:rsid w:val="7F3A6B56"/>
    <w:rsid w:val="7F3C7129"/>
    <w:rsid w:val="7F413799"/>
    <w:rsid w:val="7F7F5721"/>
    <w:rsid w:val="7FBE329C"/>
    <w:rsid w:val="7FC3364F"/>
    <w:rsid w:val="7FD40B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Indent"/>
    <w:basedOn w:val="1"/>
    <w:link w:val="17"/>
    <w:qFormat/>
    <w:uiPriority w:val="0"/>
    <w:pPr>
      <w:spacing w:after="120"/>
      <w:ind w:left="420" w:leftChars="200"/>
    </w:pPr>
  </w:style>
  <w:style w:type="paragraph" w:styleId="4">
    <w:name w:val="Balloon Text"/>
    <w:basedOn w:val="1"/>
    <w:link w:val="16"/>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unhideWhenUsed/>
    <w:qFormat/>
    <w:uiPriority w:val="99"/>
    <w:pPr>
      <w:spacing w:beforeAutospacing="1" w:afterAutospacing="1"/>
      <w:jc w:val="left"/>
    </w:pPr>
    <w:rPr>
      <w:rFonts w:cs="Times New Roman"/>
      <w:kern w:val="0"/>
      <w:sz w:val="24"/>
    </w:rPr>
  </w:style>
  <w:style w:type="paragraph" w:styleId="9">
    <w:name w:val="Body Text First Indent 2"/>
    <w:basedOn w:val="3"/>
    <w:link w:val="18"/>
    <w:qFormat/>
    <w:uiPriority w:val="0"/>
    <w:pPr>
      <w:adjustRightInd w:val="0"/>
      <w:ind w:left="0" w:leftChars="0" w:firstLine="880" w:firstLineChars="200"/>
    </w:pPr>
    <w:rPr>
      <w:rFonts w:ascii="Calibri" w:hAnsi="Calibri" w:eastAsia="仿宋" w:cs="Times New Roman"/>
      <w:sz w:val="32"/>
    </w:r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99"/>
    <w:rPr>
      <w:rFonts w:asciiTheme="minorHAnsi" w:hAnsiTheme="minorHAnsi" w:eastAsiaTheme="minorEastAsia" w:cstheme="minorBidi"/>
      <w:kern w:val="2"/>
      <w:sz w:val="18"/>
      <w:szCs w:val="18"/>
    </w:rPr>
  </w:style>
  <w:style w:type="character" w:customStyle="1" w:styleId="16">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17">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8">
    <w:name w:val="正文首行缩进 2 Char"/>
    <w:basedOn w:val="17"/>
    <w:link w:val="9"/>
    <w:qFormat/>
    <w:uiPriority w:val="0"/>
    <w:rPr>
      <w:rFonts w:ascii="Calibri" w:hAnsi="Calibri" w:eastAsia="仿宋" w:cstheme="minorBidi"/>
      <w:kern w:val="2"/>
      <w:sz w:val="32"/>
      <w:szCs w:val="22"/>
    </w:rPr>
  </w:style>
  <w:style w:type="paragraph" w:customStyle="1" w:styleId="19">
    <w:name w:val="列出段落2"/>
    <w:basedOn w:val="1"/>
    <w:qFormat/>
    <w:uiPriority w:val="34"/>
    <w:pPr>
      <w:ind w:firstLine="420" w:firstLineChars="200"/>
    </w:pPr>
  </w:style>
  <w:style w:type="paragraph"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a9ead347-94b2-48df-9b86-f7740e196a0d</errorID>
      <errorWord xmlns="http://schemas.wps.cn/vas-ai-hub/contract-review">标的原因</errorWord>
      <group xmlns="http://schemas.wps.cn/vas-ai-hub/contract-review">L1_Grammar</group>
      <groupName xmlns="http://schemas.wps.cn/vas-ai-hub/contract-review">语法问题</groupName>
      <ability xmlns="http://schemas.wps.cn/vas-ai-hub/contract-review">L2_Confusion</ability>
      <abilityName xmlns="http://schemas.wps.cn/vas-ai-hub/contract-review">结构混乱</abilityName>
      <candidateList xmlns="http://schemas.wps.cn/vas-ai-hub/contract-review">
        <item xmlns="http://schemas.wps.cn/vas-ai-hub/contract-review">标</item>
      </candidateList>
      <explain xmlns="http://schemas.wps.cn/vas-ai-hub/contract-review">句子中可能存在两种以上的句法结构，导致结构混乱。</explain>
      <paraID xmlns="http://schemas.wps.cn/vas-ai-hub/contract-review">1816A589</paraID>
      <start xmlns="http://schemas.wps.cn/vas-ai-hub/contract-review">230</start>
      <end xmlns="http://schemas.wps.cn/vas-ai-hub/contract-review">234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9a128eb0-5518-4604-90d9-4416c6150e9c</errorID>
      <errorWord xmlns="http://schemas.wps.cn/vas-ai-hub/contract-review">硫磺熏蒸</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硫黄熏蒸</item>
      </candidateList>
      <explain xmlns="http://schemas.wps.cn/vas-ai-hub/contract-review">词汇[硫磺熏蒸]为不规范表述或旧称，其规范书面表述为[硫黄熏蒸]。</explain>
      <paraID xmlns="http://schemas.wps.cn/vas-ai-hub/contract-review">1816A589</paraID>
      <start xmlns="http://schemas.wps.cn/vas-ai-hub/contract-review">288</start>
      <end xmlns="http://schemas.wps.cn/vas-ai-hub/contract-review">292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35e183d8-78e7-4937-b0bd-f651a2e15380</errorID>
      <errorWord xmlns="http://schemas.wps.cn/vas-ai-hub/contract-review">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程中</item>
      </candidateList>
      <explain xmlns="http://schemas.wps.cn/vas-ai-hub/contract-review"/>
      <paraID xmlns="http://schemas.wps.cn/vas-ai-hub/contract-review">618704FB</paraID>
      <start xmlns="http://schemas.wps.cn/vas-ai-hub/contract-review">242</start>
      <end xmlns="http://schemas.wps.cn/vas-ai-hub/contract-review">243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9edcf97a-325a-4349-88b6-964195748a0f</errorID>
      <errorWord xmlns="http://schemas.wps.cn/vas-ai-hub/contract-review">而</errorWord>
      <group xmlns="http://schemas.wps.cn/vas-ai-hub/contract-review">L1_Grammar</group>
      <groupName xmlns="http://schemas.wps.cn/vas-ai-hub/contract-review">语法问题</groupName>
      <ability xmlns="http://schemas.wps.cn/vas-ai-hub/contract-review">L2_Missing</ability>
      <abilityName xmlns="http://schemas.wps.cn/vas-ai-hub/contract-review">成分残缺</abilityName>
      <candidateList xmlns="http://schemas.wps.cn/vas-ai-hub/contract-review">
        <item xmlns="http://schemas.wps.cn/vas-ai-hub/contract-review">的缺陷而</item>
      </candidateList>
      <explain xmlns="http://schemas.wps.cn/vas-ai-hub/contract-review">句子中可能存在主谓宾、修饰语或者必要的词语残缺。</explain>
      <paraID xmlns="http://schemas.wps.cn/vas-ai-hub/contract-review">37AAC2A2</paraID>
      <start xmlns="http://schemas.wps.cn/vas-ai-hub/contract-review">224</start>
      <end xmlns="http://schemas.wps.cn/vas-ai-hub/contract-review">225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b90ba50d-3b6d-4abd-9b33-f386c24e5ddd</errorID>
      <errorWord xmlns="http://schemas.wps.cn/vas-ai-hub/contract-review">葵花籽</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葵花子</item>
      </candidateList>
      <explain xmlns="http://schemas.wps.cn/vas-ai-hub/contract-review"/>
      <paraID xmlns="http://schemas.wps.cn/vas-ai-hub/contract-review">7B6A44C0</paraID>
      <start xmlns="http://schemas.wps.cn/vas-ai-hub/contract-review">207</start>
      <end xmlns="http://schemas.wps.cn/vas-ai-hub/contract-review">210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cc40c3ef-b3c0-44aa-b3b5-815b5063556d</errorID>
      <errorWord xmlns="http://schemas.wps.cn/vas-ai-hub/contract-review">标的原因</errorWord>
      <group xmlns="http://schemas.wps.cn/vas-ai-hub/contract-review">L1_Grammar</group>
      <groupName xmlns="http://schemas.wps.cn/vas-ai-hub/contract-review">语法问题</groupName>
      <ability xmlns="http://schemas.wps.cn/vas-ai-hub/contract-review">L2_Confusion</ability>
      <abilityName xmlns="http://schemas.wps.cn/vas-ai-hub/contract-review">结构混乱</abilityName>
      <candidateList xmlns="http://schemas.wps.cn/vas-ai-hub/contract-review">
        <item xmlns="http://schemas.wps.cn/vas-ai-hub/contract-review">标</item>
      </candidateList>
      <explain xmlns="http://schemas.wps.cn/vas-ai-hub/contract-review">句子中可能存在两种以上的句法结构，导致结构混乱。</explain>
      <paraID xmlns="http://schemas.wps.cn/vas-ai-hub/contract-review">45EA05F4</paraID>
      <start xmlns="http://schemas.wps.cn/vas-ai-hub/contract-review">207</start>
      <end xmlns="http://schemas.wps.cn/vas-ai-hub/contract-review">211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2e918ae3-5c2c-4eca-9534-82dd605d597d</errorID>
      <errorWord xmlns="http://schemas.wps.cn/vas-ai-hub/contract-review">干眼症</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眼干燥症</item>
      </candidateList>
      <explain xmlns="http://schemas.wps.cn/vas-ai-hub/contract-review">医学名词[干眼症]为不规范表述或旧称，其规范书面表述为[眼干燥症]。</explain>
      <paraID xmlns="http://schemas.wps.cn/vas-ai-hub/contract-review">46924FFA</paraID>
      <start xmlns="http://schemas.wps.cn/vas-ai-hub/contract-review">43</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f0ae40dd-654f-4a6a-9224-e60fac0d2ecd</errorID>
      <errorWord xmlns="http://schemas.wps.cn/vas-ai-hub/contract-review">食欲不振</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食欲缺乏</item>
      </candidateList>
      <explain xmlns="http://schemas.wps.cn/vas-ai-hub/contract-review">医学名词[食欲不振]为不规范表述或旧称，其规范书面表述为[食欲缺乏]。</explain>
      <paraID xmlns="http://schemas.wps.cn/vas-ai-hub/contract-review">46AA6EDD</paraID>
      <start xmlns="http://schemas.wps.cn/vas-ai-hub/contract-review">70</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ee43a8ee-28dd-4382-88ec-c294b4ae1f69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46AA6EDD</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e72ab8b9-7815-4afd-a0c6-5ed7c0d87a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8075</Words>
  <Characters>8787</Characters>
  <Lines>9</Lines>
  <Paragraphs>2</Paragraphs>
  <TotalTime>1</TotalTime>
  <ScaleCrop>false</ScaleCrop>
  <LinksUpToDate>false</LinksUpToDate>
  <CharactersWithSpaces>8876</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2021-01-12T09:57:00Z</dcterms:created>
  <dc:creator>ywk-rx</dc:creator>
  <cp:lastModifiedBy>oa</cp:lastModifiedBy>
  <cp:lastPrinted>2024-06-12T14:27:00Z</cp:lastPrinted>
  <dcterms:modified xsi:type="dcterms:W3CDTF">2026-04-15T19:11:18Z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D31E21A6FF7743D6959807595CFB7A45_13</vt:lpwstr>
  </property>
  <property fmtid="{D5CDD505-2E9C-101B-9397-08002B2CF9AE}" pid="4" name="KSOTemplateDocerSaveRecord">
    <vt:lpwstr>eyJoZGlkIjoiMTg1Nzk0NGJjYjlhZTdmZjU0YmM5NTY3ODhkYTUwMzciLCJ1c2VySWQiOiI2NDk3NTE4MjIifQ==</vt:lpwstr>
  </property>
</Properties>
</file>