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94" w:lineRule="exact"/>
        <w:ind w:leftChars="0"/>
        <w:jc w:val="left"/>
        <w:textAlignment w:val="auto"/>
        <w:rPr>
          <w:rFonts w:hint="default" w:ascii="Times New Roman" w:hAnsi="Times New Roman" w:eastAsia="黑体" w:cs="Times New Roman"/>
          <w:spacing w:val="-12"/>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94" w:lineRule="exact"/>
        <w:ind w:leftChars="0"/>
        <w:jc w:val="center"/>
        <w:textAlignment w:val="auto"/>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部分不合格检验项目小知识</w:t>
      </w:r>
    </w:p>
    <w:p>
      <w:pPr>
        <w:keepNext w:val="0"/>
        <w:keepLines w:val="0"/>
        <w:pageBreakBefore w:val="0"/>
        <w:widowControl/>
        <w:numPr>
          <w:ilvl w:val="-1"/>
          <w:numId w:val="0"/>
        </w:numPr>
        <w:kinsoku/>
        <w:wordWrap/>
        <w:overflowPunct/>
        <w:topLinePunct w:val="0"/>
        <w:autoSpaceDE/>
        <w:autoSpaceDN/>
        <w:bidi w:val="0"/>
        <w:adjustRightInd/>
        <w:snapToGrid/>
        <w:spacing w:line="594" w:lineRule="exact"/>
        <w:textAlignment w:val="auto"/>
        <w:rPr>
          <w:rFonts w:hint="default" w:ascii="Times New Roman" w:hAnsi="Times New Roman" w:eastAsia="仿宋_GB2312" w:cs="Times New Roman"/>
          <w:sz w:val="32"/>
          <w:szCs w:val="32"/>
          <w:lang w:eastAsia="zh-CN"/>
        </w:rPr>
      </w:pPr>
    </w:p>
    <w:p>
      <w:pPr>
        <w:spacing w:line="594" w:lineRule="exact"/>
        <w:ind w:firstLine="592" w:firstLineChars="200"/>
        <w:rPr>
          <w:rFonts w:eastAsia="黑体"/>
          <w:spacing w:val="-12"/>
          <w:sz w:val="32"/>
          <w:szCs w:val="32"/>
        </w:rPr>
      </w:pPr>
      <w:r>
        <w:rPr>
          <w:rFonts w:hint="default" w:ascii="Times New Roman" w:hAnsi="Times New Roman" w:eastAsia="黑体" w:cs="Times New Roman"/>
          <w:color w:val="auto"/>
          <w:spacing w:val="-12"/>
          <w:sz w:val="32"/>
          <w:szCs w:val="32"/>
          <w:highlight w:val="none"/>
          <w:lang w:val="en-US" w:eastAsia="zh-CN"/>
        </w:rPr>
        <w:t>一</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Times New Roman"/>
          <w:spacing w:val="0"/>
          <w:sz w:val="32"/>
          <w:szCs w:val="32"/>
          <w:lang w:val="en-US" w:eastAsia="zh-CN"/>
        </w:rPr>
        <w:t>山梨酸及其钾盐（以山梨酸计）</w:t>
      </w:r>
    </w:p>
    <w:p>
      <w:pPr>
        <w:adjustRightInd/>
        <w:snapToGrid/>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spacing w:val="0"/>
          <w:sz w:val="32"/>
          <w:szCs w:val="32"/>
          <w:lang w:val="en-US" w:eastAsia="zh-CN"/>
        </w:rPr>
        <w:t>山梨酸及其钾盐抗菌性强，防腐效果好，是目前应用非常广泛的食品防腐剂。长期食用山梨酸及其钾盐超标的食品，可能对肝脏、肾脏、骨骼生长造成危害。</w:t>
      </w:r>
      <w:r>
        <w:rPr>
          <w:rFonts w:hint="eastAsia" w:ascii="Times New Roman" w:hAnsi="Times New Roman" w:eastAsia="仿宋_GB2312" w:cs="Times New Roman"/>
          <w:sz w:val="32"/>
          <w:szCs w:val="32"/>
          <w:lang w:val="en-US" w:eastAsia="zh-CN"/>
        </w:rPr>
        <w:t>《食品安全国家标准 食品添加剂使用标准》（GB 2760—2024）</w:t>
      </w:r>
      <w:r>
        <w:rPr>
          <w:rFonts w:hint="default" w:ascii="Times New Roman" w:hAnsi="Times New Roman" w:eastAsia="仿宋_GB2312" w:cs="Times New Roman"/>
          <w:spacing w:val="0"/>
          <w:sz w:val="32"/>
          <w:szCs w:val="32"/>
        </w:rPr>
        <w:t>中规定</w:t>
      </w:r>
      <w:r>
        <w:rPr>
          <w:rFonts w:hint="eastAsia" w:ascii="Times New Roman" w:hAnsi="Times New Roman" w:eastAsia="仿宋_GB2312" w:cs="Times New Roman"/>
          <w:spacing w:val="0"/>
          <w:sz w:val="32"/>
          <w:szCs w:val="32"/>
          <w:lang w:val="en-US" w:eastAsia="zh-CN"/>
        </w:rPr>
        <w:t>，糕点、</w:t>
      </w:r>
      <w:r>
        <w:rPr>
          <w:rFonts w:hint="eastAsia" w:eastAsia="仿宋_GB2312" w:cs="Times New Roman"/>
          <w:sz w:val="32"/>
          <w:szCs w:val="32"/>
          <w:highlight w:val="none"/>
          <w:lang w:val="en-US" w:eastAsia="zh-CN"/>
        </w:rPr>
        <w:t>新型豆制品</w:t>
      </w:r>
      <w:r>
        <w:rPr>
          <w:rFonts w:hint="eastAsia" w:ascii="Times New Roman" w:hAnsi="Times New Roman" w:eastAsia="仿宋_GB2312" w:cs="Times New Roman"/>
          <w:spacing w:val="0"/>
          <w:sz w:val="32"/>
          <w:szCs w:val="32"/>
          <w:lang w:val="en-US" w:eastAsia="zh-CN"/>
        </w:rPr>
        <w:t>中山梨酸及其钾盐（以山梨酸计）的最大使用量为1.0g/kg，水果干类、</w:t>
      </w:r>
      <w:r>
        <w:rPr>
          <w:rFonts w:hint="eastAsia" w:ascii="Times New Roman" w:hAnsi="Times New Roman" w:eastAsia="仿宋_GB2312" w:cs="Times New Roman"/>
          <w:kern w:val="2"/>
          <w:sz w:val="32"/>
          <w:szCs w:val="32"/>
          <w:highlight w:val="none"/>
          <w:lang w:val="en-US" w:eastAsia="zh-CN" w:bidi="ar-SA"/>
        </w:rPr>
        <w:t>伏</w:t>
      </w:r>
      <w:bookmarkStart w:id="4" w:name="_GoBack"/>
      <w:bookmarkEnd w:id="4"/>
      <w:r>
        <w:rPr>
          <w:rFonts w:hint="eastAsia" w:ascii="Times New Roman" w:hAnsi="Times New Roman" w:eastAsia="仿宋_GB2312" w:cs="Times New Roman"/>
          <w:kern w:val="2"/>
          <w:sz w:val="32"/>
          <w:szCs w:val="32"/>
          <w:highlight w:val="none"/>
          <w:lang w:val="en-US" w:eastAsia="zh-CN" w:bidi="ar-SA"/>
        </w:rPr>
        <w:t>湿膏类方便食品</w:t>
      </w:r>
      <w:r>
        <w:rPr>
          <w:rFonts w:hint="eastAsia" w:ascii="Times New Roman" w:hAnsi="Times New Roman" w:eastAsia="仿宋_GB2312" w:cs="Times New Roman"/>
          <w:spacing w:val="0"/>
          <w:sz w:val="32"/>
          <w:szCs w:val="32"/>
          <w:lang w:val="en-US" w:eastAsia="zh-CN"/>
        </w:rPr>
        <w:t>中不得使用山梨酸及其钾盐（以山梨酸计），</w:t>
      </w:r>
      <w:r>
        <w:rPr>
          <w:rFonts w:hint="eastAsia" w:ascii="Times New Roman" w:hAnsi="Times New Roman" w:eastAsia="仿宋_GB2312" w:cs="Times New Roman"/>
          <w:color w:val="auto"/>
          <w:sz w:val="32"/>
          <w:szCs w:val="32"/>
          <w:highlight w:val="none"/>
          <w:shd w:val="clear" w:fill="FFFFFF"/>
          <w:lang w:val="en-US" w:eastAsia="zh-CN"/>
        </w:rPr>
        <w:t>其他饮料、果蔬汁（浆）饮料中山梨酸及其钾盐</w:t>
      </w:r>
      <w:r>
        <w:rPr>
          <w:rFonts w:hint="eastAsia" w:ascii="Times New Roman" w:hAnsi="Times New Roman" w:eastAsia="仿宋_GB2312" w:cs="Times New Roman"/>
          <w:color w:val="auto"/>
          <w:sz w:val="32"/>
          <w:szCs w:val="32"/>
          <w:highlight w:val="none"/>
          <w:lang w:val="en-US" w:eastAsia="zh-CN"/>
        </w:rPr>
        <w:t>（以山梨酸计）</w:t>
      </w:r>
      <w:r>
        <w:rPr>
          <w:rFonts w:hint="eastAsia" w:ascii="Times New Roman" w:hAnsi="Times New Roman" w:eastAsia="仿宋_GB2312" w:cs="Times New Roman"/>
          <w:color w:val="auto"/>
          <w:sz w:val="32"/>
          <w:szCs w:val="32"/>
          <w:highlight w:val="none"/>
          <w:shd w:val="clear" w:fill="FFFFFF"/>
          <w:lang w:val="en-US" w:eastAsia="zh-CN"/>
        </w:rPr>
        <w:t>的最大使用量为0.5g/kg。</w:t>
      </w:r>
      <w:r>
        <w:rPr>
          <w:rFonts w:hint="eastAsia" w:ascii="Times New Roman" w:hAnsi="Times New Roman" w:eastAsia="仿宋_GB2312" w:cs="Times New Roman"/>
          <w:sz w:val="32"/>
          <w:szCs w:val="32"/>
          <w:lang w:val="en-US" w:eastAsia="zh-CN"/>
        </w:rPr>
        <w:t>《食品安全国家标准 食品添加剂使用标准》（GB 2760—2014）</w:t>
      </w:r>
      <w:r>
        <w:rPr>
          <w:rFonts w:hint="default" w:ascii="Times New Roman" w:hAnsi="Times New Roman" w:eastAsia="仿宋_GB2312" w:cs="Times New Roman"/>
          <w:spacing w:val="0"/>
          <w:sz w:val="32"/>
          <w:szCs w:val="32"/>
        </w:rPr>
        <w:t>中规定</w:t>
      </w:r>
      <w:r>
        <w:rPr>
          <w:rFonts w:hint="eastAsia"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color w:val="auto"/>
          <w:sz w:val="32"/>
          <w:szCs w:val="32"/>
          <w:highlight w:val="none"/>
          <w:shd w:val="clear" w:fill="FFFFFF"/>
          <w:lang w:val="en-US" w:eastAsia="zh-CN"/>
        </w:rPr>
        <w:t>果蔬汁（浆）饮料中山梨酸及其钾盐</w:t>
      </w:r>
      <w:r>
        <w:rPr>
          <w:rFonts w:hint="eastAsia" w:ascii="Times New Roman" w:hAnsi="Times New Roman" w:eastAsia="仿宋_GB2312" w:cs="Times New Roman"/>
          <w:color w:val="auto"/>
          <w:sz w:val="32"/>
          <w:szCs w:val="32"/>
          <w:highlight w:val="none"/>
          <w:lang w:val="en-US" w:eastAsia="zh-CN"/>
        </w:rPr>
        <w:t>（以山梨酸计）</w:t>
      </w:r>
      <w:r>
        <w:rPr>
          <w:rFonts w:hint="eastAsia" w:ascii="Times New Roman" w:hAnsi="Times New Roman" w:eastAsia="仿宋_GB2312" w:cs="Times New Roman"/>
          <w:color w:val="auto"/>
          <w:sz w:val="32"/>
          <w:szCs w:val="32"/>
          <w:highlight w:val="none"/>
          <w:shd w:val="clear" w:fill="FFFFFF"/>
          <w:lang w:val="en-US" w:eastAsia="zh-CN"/>
        </w:rPr>
        <w:t>的最大使用量为0.5g/kg。</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绿豆冰糕</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产品中山梨酸及其钾盐检验值符合食品安全国家标准规定，但不符合产品标签标示要求“脱皮绿豆 黄油 海藻糖 再无其他”。“椰子水”产品中山梨酸及其钾盐检验值符合食品安全国家标准规定，但不符合产品标签标示要求“0防腐剂”。糕点、进口</w:t>
      </w:r>
      <w:r>
        <w:rPr>
          <w:rFonts w:hint="eastAsia" w:eastAsia="仿宋_GB2312" w:cs="Times New Roman"/>
          <w:sz w:val="32"/>
          <w:szCs w:val="32"/>
          <w:highlight w:val="none"/>
          <w:lang w:val="en-US" w:eastAsia="zh-CN"/>
        </w:rPr>
        <w:t>新型豆制品、</w:t>
      </w:r>
      <w:r>
        <w:rPr>
          <w:rFonts w:hint="eastAsia" w:ascii="Times New Roman" w:hAnsi="Times New Roman" w:eastAsia="仿宋_GB2312" w:cs="Times New Roman"/>
          <w:spacing w:val="0"/>
          <w:sz w:val="32"/>
          <w:szCs w:val="32"/>
          <w:lang w:val="en-US" w:eastAsia="zh-CN"/>
        </w:rPr>
        <w:t>水果干类、</w:t>
      </w:r>
      <w:r>
        <w:rPr>
          <w:rFonts w:hint="eastAsia" w:ascii="Times New Roman" w:hAnsi="Times New Roman" w:eastAsia="仿宋_GB2312" w:cs="Times New Roman"/>
          <w:kern w:val="2"/>
          <w:sz w:val="32"/>
          <w:szCs w:val="32"/>
          <w:highlight w:val="none"/>
          <w:lang w:val="en-US" w:eastAsia="zh-CN" w:bidi="ar-SA"/>
        </w:rPr>
        <w:t>伏湿膏类方便食品、</w:t>
      </w:r>
      <w:r>
        <w:rPr>
          <w:rFonts w:hint="eastAsia" w:ascii="Times New Roman" w:hAnsi="Times New Roman" w:eastAsia="仿宋_GB2312" w:cs="Times New Roman"/>
          <w:color w:val="auto"/>
          <w:sz w:val="32"/>
          <w:szCs w:val="32"/>
          <w:highlight w:val="none"/>
          <w:shd w:val="clear" w:fill="FFFFFF"/>
          <w:lang w:val="en-US" w:eastAsia="zh-CN"/>
        </w:rPr>
        <w:t>其他饮料、果蔬汁（浆）饮料</w:t>
      </w:r>
      <w:r>
        <w:rPr>
          <w:rFonts w:hint="eastAsia" w:ascii="Times New Roman" w:hAnsi="Times New Roman" w:eastAsia="仿宋_GB2312" w:cs="Times New Roman"/>
          <w:spacing w:val="0"/>
          <w:sz w:val="32"/>
          <w:szCs w:val="32"/>
          <w:lang w:val="en-US" w:eastAsia="zh-CN"/>
        </w:rPr>
        <w:t>中山梨酸及其钾盐检验值超标</w:t>
      </w:r>
      <w:r>
        <w:rPr>
          <w:rFonts w:hint="default" w:ascii="Times New Roman" w:hAnsi="Times New Roman" w:eastAsia="仿宋_GB2312" w:cs="Times New Roman"/>
          <w:spacing w:val="0"/>
          <w:sz w:val="32"/>
          <w:szCs w:val="32"/>
        </w:rPr>
        <w:t>的原因，可能是生产经营企业为延长产品保质期，或者弥补产品生产过程卫生条件不佳而</w:t>
      </w:r>
      <w:r>
        <w:rPr>
          <w:rFonts w:hint="eastAsia" w:ascii="Times New Roman" w:hAnsi="Times New Roman" w:eastAsia="仿宋_GB2312" w:cs="Times New Roman"/>
          <w:spacing w:val="0"/>
          <w:sz w:val="32"/>
          <w:szCs w:val="32"/>
          <w:lang w:val="en-US" w:eastAsia="zh-CN"/>
        </w:rPr>
        <w:t>超范围超限量</w:t>
      </w:r>
      <w:r>
        <w:rPr>
          <w:rFonts w:hint="default" w:ascii="Times New Roman" w:hAnsi="Times New Roman" w:eastAsia="仿宋_GB2312" w:cs="Times New Roman"/>
          <w:spacing w:val="0"/>
          <w:sz w:val="32"/>
          <w:szCs w:val="32"/>
        </w:rPr>
        <w:t>使用</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也可能是在使用过程中未准确计量</w:t>
      </w:r>
      <w:r>
        <w:rPr>
          <w:rFonts w:hint="eastAsia" w:ascii="Times New Roman" w:hAnsi="Times New Roman" w:eastAsia="仿宋_GB2312" w:cs="Times New Roman"/>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right="0" w:rightChars="0" w:firstLine="592"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pacing w:val="-12"/>
          <w:sz w:val="32"/>
          <w:szCs w:val="32"/>
          <w:highlight w:val="none"/>
          <w:lang w:val="en-US" w:eastAsia="zh-CN"/>
        </w:rPr>
        <w:t>二</w:t>
      </w:r>
      <w:r>
        <w:rPr>
          <w:rFonts w:hint="default" w:ascii="Times New Roman" w:hAnsi="Times New Roman" w:eastAsia="黑体" w:cs="Times New Roman"/>
          <w:color w:val="auto"/>
          <w:spacing w:val="-12"/>
          <w:sz w:val="32"/>
          <w:szCs w:val="32"/>
          <w:highlight w:val="none"/>
        </w:rPr>
        <w:t>、</w:t>
      </w:r>
      <w:r>
        <w:rPr>
          <w:rFonts w:hint="eastAsia" w:ascii="Times New Roman" w:hAnsi="Times New Roman" w:eastAsia="黑体" w:cs="Times New Roman"/>
          <w:color w:val="auto"/>
          <w:sz w:val="32"/>
          <w:szCs w:val="32"/>
          <w:highlight w:val="none"/>
          <w:lang w:val="en-US" w:eastAsia="zh-CN"/>
        </w:rPr>
        <w:t>亮蓝</w:t>
      </w:r>
    </w:p>
    <w:p>
      <w:pPr>
        <w:numPr>
          <w:ilvl w:val="0"/>
          <w:numId w:val="0"/>
        </w:numPr>
        <w:adjustRightInd w:val="0"/>
        <w:snapToGrid w:val="0"/>
        <w:spacing w:line="594" w:lineRule="exact"/>
        <w:ind w:firstLine="640" w:firstLineChars="200"/>
        <w:textAlignment w:val="baseline"/>
        <w:rPr>
          <w:rFonts w:hint="eastAsia" w:ascii="Times New Roman" w:hAnsi="Times New Roman" w:eastAsia="黑体" w:cs="Times New Roman"/>
          <w:color w:val="auto"/>
          <w:spacing w:val="0"/>
          <w:sz w:val="32"/>
          <w:szCs w:val="32"/>
          <w:highlight w:val="none"/>
          <w:lang w:val="en-US" w:eastAsia="zh-CN"/>
        </w:rPr>
      </w:pPr>
      <w:r>
        <w:rPr>
          <w:rFonts w:hint="eastAsia" w:ascii="Times New Roman" w:hAnsi="Times New Roman" w:eastAsia="仿宋_GB2312" w:cs="Times New Roman"/>
          <w:i w:val="0"/>
          <w:iCs w:val="0"/>
          <w:caps w:val="0"/>
          <w:color w:val="auto"/>
          <w:spacing w:val="0"/>
          <w:kern w:val="2"/>
          <w:sz w:val="32"/>
          <w:szCs w:val="32"/>
          <w:highlight w:val="none"/>
          <w:shd w:val="clear" w:fill="FFFFFF"/>
          <w:lang w:val="en-US" w:eastAsia="zh-CN" w:bidi="ar"/>
        </w:rPr>
        <w:t>亮蓝，又名食用蓝色2号，属于水溶性非偶氮类合成着色剂，是常见的人工合成着色剂，在食品生产中应用广泛。亮蓝应按照标准使用，长期摄入亮蓝超标的食品，</w:t>
      </w:r>
      <w:r>
        <w:rPr>
          <w:rFonts w:hint="eastAsia" w:ascii="Times New Roman" w:hAnsi="Times New Roman" w:eastAsia="仿宋_GB2312" w:cs="Times New Roman"/>
          <w:color w:val="auto"/>
          <w:kern w:val="2"/>
          <w:sz w:val="32"/>
          <w:szCs w:val="32"/>
          <w:highlight w:val="none"/>
          <w:lang w:val="en-US" w:eastAsia="zh-CN" w:bidi="ar-SA"/>
        </w:rPr>
        <w:t>可能危害人体健康</w:t>
      </w:r>
      <w:r>
        <w:rPr>
          <w:rFonts w:hint="eastAsia" w:ascii="Times New Roman" w:hAnsi="Times New Roman" w:eastAsia="仿宋_GB2312" w:cs="Times New Roman"/>
          <w:i w:val="0"/>
          <w:iCs w:val="0"/>
          <w:caps w:val="0"/>
          <w:color w:val="auto"/>
          <w:spacing w:val="0"/>
          <w:kern w:val="2"/>
          <w:sz w:val="32"/>
          <w:szCs w:val="32"/>
          <w:highlight w:val="none"/>
          <w:shd w:val="clear" w:fill="FFFFFF"/>
          <w:lang w:val="en-US" w:eastAsia="zh-CN" w:bidi="ar"/>
        </w:rPr>
        <w:t>。《食品安全国家标准 食品添加剂使用标准》（GB 2760—2024）中规定</w:t>
      </w:r>
      <w:r>
        <w:rPr>
          <w:rFonts w:hint="default" w:ascii="Times New Roman" w:hAnsi="Times New Roman" w:eastAsia="仿宋_GB2312" w:cs="Times New Roman"/>
          <w:color w:val="auto"/>
          <w:sz w:val="32"/>
          <w:szCs w:val="32"/>
          <w:highlight w:val="none"/>
          <w:lang w:val="en-US" w:eastAsia="zh-CN"/>
        </w:rPr>
        <w:t>，干制蔬菜中</w:t>
      </w:r>
      <w:r>
        <w:rPr>
          <w:rFonts w:hint="eastAsia" w:ascii="Times New Roman" w:hAnsi="Times New Roman" w:eastAsia="仿宋_GB2312" w:cs="Times New Roman"/>
          <w:color w:val="auto"/>
          <w:sz w:val="32"/>
          <w:szCs w:val="32"/>
          <w:highlight w:val="none"/>
          <w:lang w:val="en-US" w:eastAsia="zh-CN"/>
        </w:rPr>
        <w:t>不得使用</w:t>
      </w:r>
      <w:r>
        <w:rPr>
          <w:rFonts w:hint="default" w:ascii="Times New Roman" w:hAnsi="Times New Roman" w:eastAsia="仿宋_GB2312" w:cs="Times New Roman"/>
          <w:color w:val="auto"/>
          <w:sz w:val="32"/>
          <w:szCs w:val="32"/>
          <w:highlight w:val="none"/>
          <w:lang w:val="en-US" w:eastAsia="zh-CN"/>
        </w:rPr>
        <w:t>亮蓝。</w:t>
      </w:r>
      <w:r>
        <w:rPr>
          <w:rFonts w:hint="eastAsia" w:ascii="Times New Roman" w:hAnsi="Times New Roman" w:eastAsia="仿宋_GB2312" w:cs="Times New Roman"/>
          <w:color w:val="auto"/>
          <w:sz w:val="32"/>
          <w:szCs w:val="32"/>
          <w:highlight w:val="none"/>
          <w:lang w:val="en-US" w:eastAsia="zh-CN"/>
        </w:rPr>
        <w:t>干制蔬菜</w:t>
      </w:r>
      <w:r>
        <w:rPr>
          <w:rFonts w:hint="default" w:ascii="Times New Roman" w:hAnsi="Times New Roman" w:eastAsia="仿宋_GB2312" w:cs="Times New Roman"/>
          <w:color w:val="auto"/>
          <w:sz w:val="32"/>
          <w:szCs w:val="32"/>
          <w:highlight w:val="none"/>
          <w:lang w:val="en-US" w:eastAsia="zh-CN"/>
        </w:rPr>
        <w:t>中检</w:t>
      </w:r>
      <w:r>
        <w:rPr>
          <w:rFonts w:hint="eastAsia" w:ascii="Times New Roman" w:hAnsi="Times New Roman" w:eastAsia="仿宋_GB2312" w:cs="Times New Roman"/>
          <w:color w:val="auto"/>
          <w:sz w:val="32"/>
          <w:szCs w:val="32"/>
          <w:highlight w:val="none"/>
          <w:lang w:val="en-US" w:eastAsia="zh-CN"/>
        </w:rPr>
        <w:t>出亮蓝的</w:t>
      </w:r>
      <w:r>
        <w:rPr>
          <w:rFonts w:hint="default" w:ascii="Times New Roman" w:hAnsi="Times New Roman" w:eastAsia="仿宋_GB2312" w:cs="Times New Roman"/>
          <w:color w:val="auto"/>
          <w:sz w:val="32"/>
          <w:szCs w:val="32"/>
          <w:highlight w:val="none"/>
          <w:lang w:val="en-US" w:eastAsia="zh-CN"/>
        </w:rPr>
        <w:t>原因</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可能是生产企业为改善产品色泽而</w:t>
      </w:r>
      <w:r>
        <w:rPr>
          <w:rFonts w:hint="eastAsia" w:ascii="Times New Roman" w:hAnsi="Times New Roman" w:eastAsia="仿宋_GB2312" w:cs="Times New Roman"/>
          <w:color w:val="auto"/>
          <w:sz w:val="32"/>
          <w:szCs w:val="32"/>
          <w:highlight w:val="none"/>
          <w:lang w:val="en-US" w:eastAsia="zh-CN"/>
        </w:rPr>
        <w:t>超范围</w:t>
      </w:r>
      <w:r>
        <w:rPr>
          <w:rFonts w:hint="default" w:ascii="Times New Roman" w:hAnsi="Times New Roman" w:eastAsia="仿宋_GB2312" w:cs="Times New Roman"/>
          <w:color w:val="auto"/>
          <w:sz w:val="32"/>
          <w:szCs w:val="32"/>
          <w:highlight w:val="none"/>
          <w:lang w:val="en-US" w:eastAsia="zh-CN"/>
        </w:rPr>
        <w:t>使用。</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592" w:firstLineChars="200"/>
        <w:jc w:val="both"/>
        <w:textAlignment w:val="auto"/>
        <w:rPr>
          <w:rFonts w:hint="default" w:ascii="Times New Roman" w:hAnsi="Times New Roman" w:eastAsia="黑体" w:cs="Times New Roman"/>
          <w:color w:val="000000"/>
          <w:sz w:val="32"/>
          <w:szCs w:val="32"/>
          <w:highlight w:val="none"/>
          <w:lang w:val="en-US" w:eastAsia="zh-CN"/>
        </w:rPr>
      </w:pPr>
      <w:r>
        <w:rPr>
          <w:rFonts w:hint="default" w:eastAsia="黑体"/>
          <w:color w:val="auto"/>
          <w:spacing w:val="-12"/>
          <w:sz w:val="32"/>
          <w:szCs w:val="32"/>
          <w:highlight w:val="none"/>
          <w:lang w:val="en-US" w:eastAsia="zh-CN"/>
        </w:rPr>
        <w:t>三、</w:t>
      </w:r>
      <w:r>
        <w:rPr>
          <w:rFonts w:hint="default" w:ascii="Times New Roman" w:hAnsi="Times New Roman" w:eastAsia="黑体" w:cs="Times New Roman"/>
          <w:color w:val="000000"/>
          <w:sz w:val="32"/>
          <w:szCs w:val="32"/>
          <w:highlight w:val="none"/>
          <w:lang w:eastAsia="zh-CN"/>
        </w:rPr>
        <w:t>二氧化硫残留量</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二氧化硫是食品加工中常用的漂白剂和防腐剂，具有漂白、防腐和抗氧化作用。少量二氧化硫进入人体不会对身体造成健康危害，但过量食用会引起如恶心、呕吐等胃肠道反应。</w:t>
      </w:r>
      <w:r>
        <w:rPr>
          <w:rFonts w:hint="eastAsia" w:ascii="Times New Roman" w:hAnsi="Times New Roman" w:eastAsia="仿宋_GB2312" w:cs="Times New Roman"/>
          <w:sz w:val="32"/>
          <w:szCs w:val="32"/>
          <w:lang w:val="en-US" w:eastAsia="zh-CN"/>
        </w:rPr>
        <w:t>《食品安全国家标准 食品添加剂使用标准》（GB 2760—2024）</w:t>
      </w:r>
      <w:r>
        <w:rPr>
          <w:rFonts w:hint="default" w:ascii="Times New Roman" w:hAnsi="Times New Roman" w:eastAsia="仿宋_GB2312" w:cs="Times New Roman"/>
          <w:sz w:val="32"/>
          <w:szCs w:val="32"/>
        </w:rPr>
        <w:t>中规定</w:t>
      </w:r>
      <w:r>
        <w:rPr>
          <w:rFonts w:hint="default"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干制蔬菜</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中二氧化硫最大使用量为0.2g/kg</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auto"/>
          <w:sz w:val="32"/>
          <w:szCs w:val="32"/>
          <w:lang w:val="en-US" w:eastAsia="zh-CN"/>
        </w:rPr>
        <w:t>香辛料及粉（八角除外）中不得使用二氧化硫</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，蜜饯中二氧化硫最大使用量为0.35g/kg。干</w:t>
      </w:r>
      <w:r>
        <w:rPr>
          <w:rFonts w:hint="eastAsia" w:ascii="Times New Roman" w:hAnsi="Times New Roman" w:eastAsia="仿宋_GB2312" w:cs="Times New Roman"/>
          <w:color w:val="auto"/>
          <w:sz w:val="32"/>
          <w:szCs w:val="32"/>
          <w:highlight w:val="none"/>
          <w:lang w:val="en-US" w:eastAsia="zh-CN"/>
        </w:rPr>
        <w:t>制蔬菜、</w:t>
      </w:r>
      <w:r>
        <w:rPr>
          <w:rFonts w:hint="default" w:ascii="Times New Roman" w:hAnsi="Times New Roman" w:eastAsia="仿宋_GB2312" w:cs="Times New Roman"/>
          <w:color w:val="auto"/>
          <w:sz w:val="32"/>
          <w:szCs w:val="32"/>
          <w:lang w:val="en-US" w:eastAsia="zh-CN"/>
        </w:rPr>
        <w:t>香辛料及粉</w:t>
      </w:r>
      <w:r>
        <w:rPr>
          <w:rFonts w:hint="eastAsia" w:ascii="Times New Roman" w:hAnsi="Times New Roman" w:eastAsia="仿宋_GB2312" w:cs="Times New Roman"/>
          <w:color w:val="auto"/>
          <w:sz w:val="32"/>
          <w:szCs w:val="32"/>
          <w:lang w:val="en-US" w:eastAsia="zh-CN"/>
        </w:rPr>
        <w:t>、蜜饯</w:t>
      </w:r>
      <w:r>
        <w:rPr>
          <w:rFonts w:hint="default" w:ascii="Times New Roman" w:hAnsi="Times New Roman" w:eastAsia="仿宋_GB2312" w:cs="Times New Roman"/>
          <w:color w:val="auto"/>
          <w:sz w:val="32"/>
          <w:szCs w:val="32"/>
          <w:highlight w:val="none"/>
        </w:rPr>
        <w:t>中二氧化硫残留量</w:t>
      </w:r>
      <w:r>
        <w:rPr>
          <w:rFonts w:hint="eastAsia" w:ascii="Times New Roman" w:hAnsi="Times New Roman" w:eastAsia="仿宋_GB2312" w:cs="Times New Roman"/>
          <w:color w:val="auto"/>
          <w:sz w:val="32"/>
          <w:szCs w:val="32"/>
          <w:highlight w:val="none"/>
          <w:lang w:val="en-US" w:eastAsia="zh-CN"/>
        </w:rPr>
        <w:t>超标的</w:t>
      </w:r>
      <w:r>
        <w:rPr>
          <w:rFonts w:hint="eastAsia" w:ascii="Times New Roman" w:hAnsi="Times New Roman" w:eastAsia="仿宋_GB2312" w:cs="Times New Roman"/>
          <w:color w:val="auto"/>
          <w:sz w:val="32"/>
          <w:szCs w:val="32"/>
          <w:highlight w:val="none"/>
          <w:lang w:eastAsia="zh-CN"/>
        </w:rPr>
        <w:t>原因，</w:t>
      </w:r>
      <w:r>
        <w:rPr>
          <w:rFonts w:hint="default" w:ascii="Times New Roman" w:hAnsi="Times New Roman" w:eastAsia="仿宋_GB2312" w:cs="Times New Roman"/>
          <w:color w:val="auto"/>
          <w:sz w:val="32"/>
          <w:szCs w:val="32"/>
          <w:highlight w:val="none"/>
        </w:rPr>
        <w:t>可能是生产企业为了</w:t>
      </w:r>
      <w:r>
        <w:rPr>
          <w:rFonts w:hint="eastAsia" w:ascii="Times New Roman" w:hAnsi="Times New Roman" w:eastAsia="仿宋_GB2312" w:cs="Times New Roman"/>
          <w:color w:val="auto"/>
          <w:sz w:val="32"/>
          <w:szCs w:val="32"/>
          <w:highlight w:val="none"/>
          <w:lang w:val="en-US" w:eastAsia="zh-CN"/>
        </w:rPr>
        <w:t>改善</w:t>
      </w:r>
      <w:r>
        <w:rPr>
          <w:rFonts w:hint="default" w:ascii="Times New Roman" w:hAnsi="Times New Roman" w:eastAsia="仿宋_GB2312" w:cs="Times New Roman"/>
          <w:color w:val="auto"/>
          <w:sz w:val="32"/>
          <w:szCs w:val="32"/>
          <w:highlight w:val="none"/>
          <w:lang w:eastAsia="zh-CN"/>
        </w:rPr>
        <w:t>产品</w:t>
      </w:r>
      <w:r>
        <w:rPr>
          <w:rFonts w:hint="default" w:ascii="Times New Roman" w:hAnsi="Times New Roman" w:eastAsia="仿宋_GB2312" w:cs="Times New Roman"/>
          <w:color w:val="auto"/>
          <w:sz w:val="32"/>
          <w:szCs w:val="32"/>
          <w:highlight w:val="none"/>
        </w:rPr>
        <w:t>色泽而超</w:t>
      </w:r>
      <w:r>
        <w:rPr>
          <w:rFonts w:hint="eastAsia" w:ascii="Times New Roman" w:hAnsi="Times New Roman" w:eastAsia="仿宋_GB2312" w:cs="Times New Roman"/>
          <w:color w:val="auto"/>
          <w:sz w:val="32"/>
          <w:szCs w:val="32"/>
          <w:highlight w:val="none"/>
          <w:lang w:val="en-US" w:eastAsia="zh-CN"/>
        </w:rPr>
        <w:t>限</w:t>
      </w:r>
      <w:r>
        <w:rPr>
          <w:rFonts w:hint="default" w:ascii="Times New Roman" w:hAnsi="Times New Roman" w:eastAsia="仿宋_GB2312" w:cs="Times New Roman"/>
          <w:color w:val="auto"/>
          <w:sz w:val="32"/>
          <w:szCs w:val="32"/>
          <w:highlight w:val="none"/>
        </w:rPr>
        <w:t>量使用二氧化硫</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也可能是</w:t>
      </w:r>
      <w:r>
        <w:rPr>
          <w:rFonts w:hint="eastAsia" w:ascii="Times New Roman" w:hAnsi="Times New Roman" w:eastAsia="仿宋_GB2312" w:cs="Times New Roman"/>
          <w:color w:val="auto"/>
          <w:sz w:val="32"/>
          <w:szCs w:val="32"/>
          <w:highlight w:val="none"/>
          <w:lang w:val="en-US" w:eastAsia="zh-CN"/>
        </w:rPr>
        <w:t>使用时不计量或计量不准确；还可能是</w:t>
      </w:r>
      <w:r>
        <w:rPr>
          <w:rFonts w:hint="default" w:ascii="Times New Roman" w:hAnsi="Times New Roman" w:eastAsia="仿宋_GB2312" w:cs="Times New Roman"/>
          <w:color w:val="auto"/>
          <w:sz w:val="32"/>
          <w:szCs w:val="32"/>
          <w:highlight w:val="none"/>
        </w:rPr>
        <w:t>由于使用硫磺熏蒸漂白这种传统工艺或直接使用亚硫酸盐浸泡</w:t>
      </w:r>
      <w:r>
        <w:rPr>
          <w:rFonts w:hint="eastAsia" w:ascii="Times New Roman" w:hAnsi="Times New Roman" w:eastAsia="仿宋_GB2312" w:cs="Times New Roman"/>
          <w:color w:val="auto"/>
          <w:sz w:val="32"/>
          <w:szCs w:val="32"/>
          <w:highlight w:val="none"/>
          <w:lang w:eastAsia="zh-CN"/>
        </w:rPr>
        <w:t>所</w:t>
      </w:r>
      <w:r>
        <w:rPr>
          <w:rFonts w:hint="default" w:ascii="Times New Roman" w:hAnsi="Times New Roman" w:eastAsia="仿宋_GB2312" w:cs="Times New Roman"/>
          <w:color w:val="auto"/>
          <w:sz w:val="32"/>
          <w:szCs w:val="32"/>
          <w:highlight w:val="none"/>
        </w:rPr>
        <w:t>造成</w:t>
      </w:r>
      <w:r>
        <w:rPr>
          <w:rFonts w:hint="default" w:ascii="Times New Roman" w:hAnsi="Times New Roman" w:eastAsia="仿宋_GB2312" w:cs="Times New Roman"/>
          <w:color w:val="auto"/>
          <w:kern w:val="2"/>
          <w:sz w:val="32"/>
          <w:szCs w:val="32"/>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right="0" w:rightChars="0" w:firstLine="592" w:firstLineChars="200"/>
        <w:jc w:val="both"/>
        <w:textAlignment w:val="auto"/>
        <w:rPr>
          <w:rFonts w:hint="eastAsia" w:ascii="Times New Roman" w:hAnsi="Times New Roman" w:eastAsia="黑体" w:cs="Times New Roman"/>
          <w:color w:val="000000"/>
          <w:sz w:val="32"/>
          <w:szCs w:val="32"/>
          <w:highlight w:val="none"/>
          <w:lang w:eastAsia="zh-CN"/>
        </w:rPr>
      </w:pPr>
      <w:r>
        <w:rPr>
          <w:rFonts w:hint="eastAsia" w:eastAsia="黑体"/>
          <w:color w:val="auto"/>
          <w:spacing w:val="-12"/>
          <w:sz w:val="32"/>
          <w:szCs w:val="32"/>
          <w:highlight w:val="none"/>
          <w:lang w:val="en-US" w:eastAsia="zh-CN"/>
        </w:rPr>
        <w:t>四、</w:t>
      </w:r>
      <w:r>
        <w:rPr>
          <w:rFonts w:hint="eastAsia" w:ascii="Times New Roman" w:hAnsi="Times New Roman" w:eastAsia="黑体" w:cs="Times New Roman"/>
          <w:color w:val="000000"/>
          <w:sz w:val="32"/>
          <w:szCs w:val="32"/>
          <w:highlight w:val="none"/>
          <w:lang w:eastAsia="zh-CN"/>
        </w:rPr>
        <w:t>糖精钠（以糖精计）</w:t>
      </w:r>
    </w:p>
    <w:p>
      <w:pPr>
        <w:numPr>
          <w:ilvl w:val="0"/>
          <w:numId w:val="0"/>
        </w:numPr>
        <w:overflowPunct/>
        <w:adjustRightInd/>
        <w:snapToGrid/>
        <w:spacing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spacing w:val="0"/>
          <w:kern w:val="2"/>
          <w:sz w:val="32"/>
          <w:szCs w:val="32"/>
          <w:lang w:val="en-US" w:eastAsia="zh-CN" w:bidi="ar-SA"/>
        </w:rPr>
        <w:t>糖精钠是普遍使用的人工合成甜味剂，在人体内不被吸收，不产生热量，大部分经肾排出而不损害肾功能。但如果长期摄入糖精钠超标的食品，可能会影响肠胃消化酶的正常分泌，降低小肠的吸收能力，使食欲减退。《食品安全国家标准 食品添加剂使用标准》（GB 2760—2024）中规定，冲调谷物制品中不得使用糖精钠（以糖精计）。冲调谷物制品中检出糖精钠（以糖精计）的原因，可能是企业为增加产品甜度而超范围使用甜味剂。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auto"/>
          <w:kern w:val="2"/>
          <w:sz w:val="32"/>
          <w:szCs w:val="32"/>
          <w:highlight w:val="none"/>
          <w:lang w:val="en-US" w:eastAsia="zh-CN" w:bidi="ar-SA"/>
        </w:rPr>
        <w:t>五、</w:t>
      </w:r>
      <w:r>
        <w:rPr>
          <w:rFonts w:hint="eastAsia" w:ascii="黑体" w:hAnsi="黑体" w:eastAsia="黑体" w:cs="黑体"/>
          <w:color w:val="000000"/>
          <w:sz w:val="32"/>
          <w:szCs w:val="32"/>
          <w:highlight w:val="none"/>
          <w:lang w:eastAsia="zh-CN"/>
        </w:rPr>
        <w:t>苯甲酸及其钠盐（以苯甲酸计）</w:t>
      </w:r>
    </w:p>
    <w:p>
      <w:pPr>
        <w:spacing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苯甲酸及其钠盐（以苯甲酸计）是食品工业中常用的一种防腐剂，对霉菌、酵母和细菌有较好的抑制作用。长期食用苯甲酸及其钠盐超标的食品，可能导致肝脏积累性中毒，危害肝脏健康。《食品安全国家标准 食品添加剂使用标准》（GB 2760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花生制品中不得使用苯甲酸及其钠盐（以苯甲酸计）。花生制品（自制）中检出苯甲酸及其钠盐（以苯甲酸计）的原因，可能是经营者为延长产品保质期或者弥补产品生产过程卫生条件不佳而超范围使用。</w:t>
      </w:r>
    </w:p>
    <w:p>
      <w:pPr>
        <w:spacing w:line="594" w:lineRule="exact"/>
        <w:ind w:firstLine="640" w:firstLineChars="200"/>
        <w:rPr>
          <w:rFonts w:hint="eastAsia" w:ascii="黑体" w:hAnsi="黑体" w:eastAsia="黑体" w:cs="Times New Roman"/>
          <w:sz w:val="32"/>
          <w:szCs w:val="32"/>
          <w:lang w:eastAsia="zh-CN"/>
        </w:rPr>
      </w:pPr>
      <w:r>
        <w:rPr>
          <w:rFonts w:hint="eastAsia" w:ascii="黑体" w:hAnsi="黑体" w:eastAsia="黑体" w:cs="黑体"/>
          <w:color w:val="auto"/>
          <w:spacing w:val="0"/>
          <w:sz w:val="32"/>
          <w:szCs w:val="32"/>
          <w:highlight w:val="none"/>
          <w:lang w:val="en-US" w:eastAsia="zh-CN"/>
        </w:rPr>
        <w:t>六、</w:t>
      </w:r>
      <w:r>
        <w:rPr>
          <w:rFonts w:hint="eastAsia" w:ascii="Times New Roman" w:hAnsi="Times New Roman" w:eastAsia="黑体"/>
          <w:spacing w:val="-12"/>
          <w:sz w:val="32"/>
          <w:szCs w:val="32"/>
          <w:lang w:val="en-US" w:eastAsia="zh-CN"/>
        </w:rPr>
        <w:t>甜蜜素</w:t>
      </w:r>
      <w:r>
        <w:rPr>
          <w:rFonts w:hint="eastAsia" w:ascii="黑体" w:hAnsi="黑体" w:eastAsia="黑体" w:cs="Times New Roman"/>
          <w:sz w:val="32"/>
          <w:szCs w:val="32"/>
          <w:lang w:eastAsia="zh-CN"/>
        </w:rPr>
        <w:t>（以环己基氨基磺酸计）</w:t>
      </w:r>
    </w:p>
    <w:p>
      <w:pPr>
        <w:pStyle w:val="9"/>
        <w:adjustRightInd/>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eastAsia" w:ascii="Times New Roman" w:hAnsi="Times New Roman" w:eastAsia="仿宋_GB2312" w:cs="Times New Roman"/>
          <w:sz w:val="32"/>
          <w:szCs w:val="32"/>
          <w:lang w:eastAsia="zh-CN"/>
        </w:rPr>
        <w:t>甜蜜素，化学名称为环己基氨基磺酸钠，是食品生产中常用的甜味剂之一，甜度是蔗糖的40—50倍。长期摄入甜蜜素超标的食品，可能会对人体的肝脏和神经系统造成一定危害。</w:t>
      </w:r>
      <w:r>
        <w:rPr>
          <w:rFonts w:hint="default" w:ascii="Times New Roman" w:hAnsi="Times New Roman" w:eastAsia="仿宋_GB2312" w:cs="Times New Roman"/>
          <w:sz w:val="32"/>
          <w:szCs w:val="32"/>
          <w:highlight w:val="none"/>
          <w:lang w:val="en-US" w:eastAsia="zh-CN"/>
        </w:rPr>
        <w:t>《食品安全国家标准 食品添加剂使用标准》（GB 2760</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4）中规定，</w:t>
      </w:r>
      <w:r>
        <w:rPr>
          <w:rFonts w:hint="eastAsia" w:ascii="Times New Roman" w:hAnsi="Times New Roman" w:eastAsia="仿宋_GB2312" w:cs="Times New Roman"/>
          <w:sz w:val="32"/>
          <w:szCs w:val="32"/>
          <w:highlight w:val="none"/>
          <w:lang w:val="en-US" w:eastAsia="zh-CN"/>
        </w:rPr>
        <w:t>话化类蜜饯中甜蜜素的最大使用量为8.0g/kg</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话化类蜜饯</w:t>
      </w:r>
      <w:r>
        <w:rPr>
          <w:rFonts w:hint="eastAsia" w:ascii="Times New Roman" w:hAnsi="Times New Roman" w:eastAsia="仿宋_GB2312" w:cs="Times New Roman"/>
          <w:sz w:val="32"/>
          <w:szCs w:val="32"/>
          <w:highlight w:val="none"/>
        </w:rPr>
        <w:t>中</w:t>
      </w:r>
      <w:r>
        <w:rPr>
          <w:rFonts w:hint="eastAsia" w:eastAsia="仿宋_GB2312" w:cs="Times New Roman"/>
          <w:sz w:val="32"/>
          <w:szCs w:val="32"/>
          <w:highlight w:val="none"/>
          <w:lang w:val="en-US" w:eastAsia="zh-CN"/>
        </w:rPr>
        <w:t>甜蜜素（以环己基氨基磺酸计）检验值超标</w:t>
      </w:r>
      <w:r>
        <w:rPr>
          <w:rFonts w:hint="eastAsia" w:ascii="Times New Roman" w:hAnsi="Times New Roman" w:eastAsia="仿宋_GB2312" w:cs="Times New Roman"/>
          <w:sz w:val="32"/>
          <w:szCs w:val="32"/>
          <w:highlight w:val="none"/>
        </w:rPr>
        <w:t>的原因，可能是生产</w:t>
      </w:r>
      <w:r>
        <w:rPr>
          <w:rFonts w:hint="eastAsia" w:eastAsia="仿宋_GB2312" w:cs="Times New Roman"/>
          <w:sz w:val="32"/>
          <w:szCs w:val="32"/>
          <w:highlight w:val="none"/>
          <w:lang w:val="en-US" w:eastAsia="zh-CN"/>
        </w:rPr>
        <w:t>经营者</w:t>
      </w:r>
      <w:r>
        <w:rPr>
          <w:rFonts w:hint="eastAsia" w:ascii="Times New Roman" w:hAnsi="Times New Roman" w:eastAsia="仿宋_GB2312" w:cs="Times New Roman"/>
          <w:sz w:val="32"/>
          <w:szCs w:val="32"/>
          <w:highlight w:val="none"/>
          <w:lang w:val="en-US" w:eastAsia="zh-CN"/>
        </w:rPr>
        <w:t>违规添加以</w:t>
      </w:r>
      <w:r>
        <w:rPr>
          <w:rFonts w:hint="eastAsia" w:ascii="Times New Roman" w:hAnsi="Times New Roman" w:eastAsia="仿宋_GB2312" w:cs="Times New Roman"/>
          <w:sz w:val="32"/>
          <w:szCs w:val="32"/>
          <w:highlight w:val="none"/>
          <w:lang w:eastAsia="zh-CN"/>
        </w:rPr>
        <w:t>改善口感</w:t>
      </w:r>
      <w:r>
        <w:rPr>
          <w:rFonts w:hint="eastAsia" w:eastAsia="仿宋_GB2312" w:cs="Times New Roman"/>
          <w:sz w:val="32"/>
          <w:szCs w:val="32"/>
          <w:highlight w:val="none"/>
          <w:lang w:eastAsia="zh-CN"/>
        </w:rPr>
        <w:t>；</w:t>
      </w:r>
      <w:r>
        <w:rPr>
          <w:rFonts w:hint="eastAsia" w:eastAsia="仿宋_GB2312" w:cs="Times New Roman"/>
          <w:sz w:val="32"/>
          <w:szCs w:val="32"/>
          <w:highlight w:val="none"/>
          <w:lang w:val="en-US" w:eastAsia="zh-CN"/>
        </w:rPr>
        <w:t>也可能是</w:t>
      </w:r>
      <w:r>
        <w:rPr>
          <w:rFonts w:hint="eastAsia" w:ascii="Times New Roman" w:hAnsi="Times New Roman" w:eastAsia="仿宋_GB2312" w:cs="Times New Roman"/>
          <w:sz w:val="32"/>
          <w:szCs w:val="32"/>
          <w:highlight w:val="none"/>
          <w:lang w:val="en-US" w:eastAsia="zh-CN"/>
        </w:rPr>
        <w:t>外购的原料带入；</w:t>
      </w:r>
      <w:r>
        <w:rPr>
          <w:rFonts w:hint="eastAsia" w:ascii="Times New Roman" w:hAnsi="Times New Roman" w:eastAsia="仿宋_GB2312" w:cs="Times New Roman"/>
          <w:kern w:val="2"/>
          <w:sz w:val="32"/>
          <w:szCs w:val="32"/>
          <w:highlight w:val="none"/>
          <w:lang w:val="en-US" w:eastAsia="zh-CN" w:bidi="ar-SA"/>
        </w:rPr>
        <w:t>还可能是</w:t>
      </w:r>
      <w:r>
        <w:rPr>
          <w:rFonts w:hint="default" w:ascii="Times New Roman" w:hAnsi="Times New Roman" w:eastAsia="仿宋_GB2312" w:cs="Times New Roman"/>
          <w:kern w:val="2"/>
          <w:sz w:val="32"/>
          <w:szCs w:val="32"/>
          <w:highlight w:val="none"/>
          <w:lang w:val="en-US" w:eastAsia="zh-CN" w:bidi="ar-SA"/>
        </w:rPr>
        <w:t>生产过程</w:t>
      </w:r>
      <w:r>
        <w:rPr>
          <w:rFonts w:hint="eastAsia" w:cs="Times New Roman"/>
          <w:kern w:val="2"/>
          <w:sz w:val="32"/>
          <w:szCs w:val="32"/>
          <w:highlight w:val="none"/>
          <w:lang w:val="en-US" w:eastAsia="zh-CN" w:bidi="ar-SA"/>
        </w:rPr>
        <w:t>中</w:t>
      </w:r>
      <w:r>
        <w:rPr>
          <w:rFonts w:hint="default" w:ascii="Times New Roman" w:hAnsi="Times New Roman" w:eastAsia="仿宋_GB2312" w:cs="Times New Roman"/>
          <w:kern w:val="2"/>
          <w:sz w:val="32"/>
          <w:szCs w:val="32"/>
          <w:highlight w:val="none"/>
          <w:lang w:val="en-US" w:eastAsia="zh-CN" w:bidi="ar-SA"/>
        </w:rPr>
        <w:t>计量不准。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auto"/>
          <w:sz w:val="32"/>
          <w:szCs w:val="32"/>
          <w:highlight w:val="none"/>
          <w:lang w:val="en-US" w:eastAsia="zh-CN"/>
        </w:rPr>
        <w:t>七、</w:t>
      </w:r>
      <w:r>
        <w:rPr>
          <w:rFonts w:hint="default" w:ascii="Times New Roman" w:hAnsi="Times New Roman" w:eastAsia="黑体" w:cs="Times New Roman"/>
          <w:color w:val="000000"/>
          <w:sz w:val="32"/>
          <w:szCs w:val="32"/>
          <w:highlight w:val="none"/>
          <w:lang w:eastAsia="zh-CN"/>
        </w:rPr>
        <w:t>铝的残留量（干样品，以Al计）</w:t>
      </w:r>
    </w:p>
    <w:p>
      <w:pPr>
        <w:widowControl w:val="0"/>
        <w:adjustRightInd/>
        <w:spacing w:after="0" w:line="594" w:lineRule="exact"/>
        <w:ind w:firstLine="640" w:firstLineChars="200"/>
        <w:rPr>
          <w:rFonts w:hint="eastAsia" w:ascii="Times New Roman" w:hAnsi="Times New Roman" w:eastAsia="仿宋_GB2312" w:cs="Times New Roman"/>
          <w:color w:val="auto"/>
          <w:spacing w:val="0"/>
          <w:sz w:val="32"/>
          <w:szCs w:val="32"/>
          <w:highlight w:val="none"/>
          <w:lang w:val="en-US" w:eastAsia="zh-CN" w:bidi="ar"/>
        </w:rPr>
      </w:pPr>
      <w:r>
        <w:rPr>
          <w:rFonts w:hint="default" w:ascii="Times New Roman" w:hAnsi="Times New Roman" w:eastAsia="仿宋_GB2312" w:cs="Times New Roman"/>
          <w:color w:val="auto"/>
          <w:sz w:val="32"/>
          <w:szCs w:val="32"/>
          <w:highlight w:val="none"/>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可能会导致运动和学习记忆能力下降。《食品安全国家标准 食品添加剂使用标准》（GB 2760</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2024）中规定，粉丝、粉条中铝的残留量（干样品，以Al计）最大限量值为200mg/kg，油炸面制品中铝的残留量（干样品，以Al计）最大限量值为100mg/kg。粉丝粉条（自制）</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油饼油条（自制）中铝残留量（干样品，以Al计）超标的原因，可能是经营者在加工过程中未控制好含铝食品添加剂的使用量；也可能是其使用的复配添加剂中铝含量过高。</w:t>
      </w:r>
    </w:p>
    <w:p>
      <w:pPr>
        <w:keepNext w:val="0"/>
        <w:keepLines w:val="0"/>
        <w:pageBreakBefore w:val="0"/>
        <w:widowControl w:val="0"/>
        <w:kinsoku/>
        <w:wordWrap/>
        <w:overflowPunct/>
        <w:topLinePunct w:val="0"/>
        <w:autoSpaceDE/>
        <w:autoSpaceDN/>
        <w:bidi w:val="0"/>
        <w:adjustRightInd/>
        <w:snapToGrid/>
        <w:spacing w:line="594" w:lineRule="exact"/>
        <w:ind w:firstLine="572" w:firstLineChars="200"/>
        <w:textAlignment w:val="auto"/>
        <w:rPr>
          <w:rFonts w:hint="default" w:ascii="Times New Roman" w:hAnsi="Times New Roman" w:eastAsia="黑体" w:cs="Times New Roman"/>
          <w:color w:val="auto"/>
          <w:sz w:val="32"/>
          <w:szCs w:val="32"/>
          <w:lang w:val="en-US"/>
        </w:rPr>
      </w:pPr>
      <w:r>
        <w:rPr>
          <w:rFonts w:hint="default" w:ascii="Times New Roman" w:hAnsi="Times New Roman" w:eastAsia="黑体" w:cs="Times New Roman"/>
          <w:color w:val="auto"/>
          <w:spacing w:val="-17"/>
          <w:sz w:val="32"/>
          <w:szCs w:val="32"/>
          <w:highlight w:val="none"/>
          <w:lang w:val="en-US" w:eastAsia="zh-CN"/>
        </w:rPr>
        <w:t>八、</w:t>
      </w:r>
      <w:r>
        <w:rPr>
          <w:rFonts w:hint="eastAsia" w:ascii="Times New Roman" w:hAnsi="Times New Roman" w:eastAsia="黑体" w:cs="Times New Roman"/>
          <w:color w:val="auto"/>
          <w:spacing w:val="-12"/>
          <w:sz w:val="32"/>
          <w:szCs w:val="32"/>
          <w:lang w:val="en-US" w:eastAsia="zh-CN"/>
        </w:rPr>
        <w:t>柠檬黄</w:t>
      </w:r>
    </w:p>
    <w:p>
      <w:pPr>
        <w:overflowPunct w:val="0"/>
        <w:adjustRightInd w:val="0"/>
        <w:spacing w:line="594" w:lineRule="exact"/>
        <w:ind w:firstLine="640" w:firstLineChars="200"/>
        <w:rPr>
          <w:rFonts w:hint="eastAsia" w:ascii="黑体" w:hAnsi="黑体" w:eastAsia="黑体" w:cs="黑体"/>
          <w:color w:val="auto"/>
          <w:spacing w:val="0"/>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柠檬黄又名食用黄色4号，水溶性偶氮类化合物，是常见的人工合成着色剂，在食品生产中应用广泛。如果长期摄入柠檬黄超标的食品，可能对人体肝脏等造成损害。《食品安全国家标准 食品添加剂使用标准》（GB 2760</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2024）中规定，</w:t>
      </w:r>
      <w:r>
        <w:rPr>
          <w:rFonts w:hint="default" w:ascii="Times New Roman" w:hAnsi="Times New Roman" w:eastAsia="仿宋_GB2312" w:cs="Times New Roman"/>
          <w:kern w:val="2"/>
          <w:sz w:val="32"/>
          <w:szCs w:val="32"/>
          <w:highlight w:val="none"/>
          <w:lang w:val="en-US" w:eastAsia="zh-CN" w:bidi="ar-SA"/>
        </w:rPr>
        <w:t>蜜饯中柠檬黄的最大使用量为0.1g/kg</w:t>
      </w:r>
      <w:r>
        <w:rPr>
          <w:rFonts w:hint="default" w:ascii="Times New Roman" w:hAnsi="Times New Roman" w:eastAsia="仿宋_GB2312" w:cs="Times New Roman"/>
          <w:color w:val="auto"/>
          <w:kern w:val="2"/>
          <w:sz w:val="32"/>
          <w:szCs w:val="32"/>
          <w:highlight w:val="none"/>
          <w:lang w:val="en-US" w:eastAsia="zh-CN" w:bidi="ar-SA"/>
        </w:rPr>
        <w:t>。蜜饯中柠檬黄</w:t>
      </w:r>
      <w:r>
        <w:rPr>
          <w:rFonts w:hint="default" w:ascii="Times New Roman" w:hAnsi="Times New Roman" w:eastAsia="仿宋_GB2312" w:cs="Times New Roman"/>
          <w:sz w:val="32"/>
          <w:szCs w:val="32"/>
          <w:highlight w:val="none"/>
          <w:lang w:val="en-US" w:eastAsia="zh-CN"/>
        </w:rPr>
        <w:t>检验值超标的原因，</w:t>
      </w:r>
      <w:r>
        <w:rPr>
          <w:rFonts w:hint="default" w:ascii="Times New Roman" w:hAnsi="Times New Roman" w:eastAsia="仿宋_GB2312" w:cs="Times New Roman"/>
          <w:sz w:val="32"/>
          <w:szCs w:val="32"/>
          <w:highlight w:val="none"/>
          <w:shd w:val="clear" w:fill="FFFFFF"/>
          <w:lang w:val="en-US" w:eastAsia="zh-CN"/>
        </w:rPr>
        <w:t>可能是生产企业为改善产品色泽而超限量使用；</w:t>
      </w:r>
      <w:r>
        <w:rPr>
          <w:rFonts w:hint="default" w:ascii="Times New Roman" w:hAnsi="Times New Roman" w:eastAsia="仿宋_GB2312" w:cs="Times New Roman"/>
          <w:sz w:val="32"/>
          <w:szCs w:val="32"/>
          <w:highlight w:val="none"/>
          <w:lang w:val="en-US" w:eastAsia="zh-CN"/>
        </w:rPr>
        <w:t>也可能是生产过程中计量不准。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pacing w:val="0"/>
          <w:sz w:val="32"/>
          <w:szCs w:val="32"/>
          <w:highlight w:val="none"/>
          <w:lang w:val="en-US" w:eastAsia="zh-CN"/>
        </w:rPr>
        <w:t>九、</w:t>
      </w:r>
      <w:r>
        <w:rPr>
          <w:rFonts w:hint="eastAsia" w:ascii="Times New Roman" w:hAnsi="Times New Roman" w:eastAsia="黑体" w:cs="Times New Roman"/>
          <w:color w:val="auto"/>
          <w:sz w:val="32"/>
          <w:szCs w:val="32"/>
          <w:highlight w:val="none"/>
          <w:lang w:val="en-US" w:eastAsia="zh-CN"/>
        </w:rPr>
        <w:t>防腐剂混合使用时各自用量占其最大使用量的比例之和</w:t>
      </w:r>
    </w:p>
    <w:p>
      <w:pPr>
        <w:widowControl/>
        <w:numPr>
          <w:ilvl w:val="0"/>
          <w:numId w:val="0"/>
        </w:numPr>
        <w:adjustRightInd/>
        <w:snapToGrid/>
        <w:spacing w:line="594" w:lineRule="exact"/>
        <w:ind w:firstLine="640" w:firstLineChars="200"/>
        <w:rPr>
          <w:rFonts w:hint="eastAsia"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spacing w:val="0"/>
          <w:sz w:val="32"/>
          <w:szCs w:val="32"/>
          <w:highlight w:val="none"/>
        </w:rPr>
        <w:t>防腐剂是常见的食品添加剂，用于延缓或抑制由微生物引起的食品腐败变质。长期食用防腐剂超标的食品会对人体健康造成损害。</w:t>
      </w:r>
      <w:r>
        <w:rPr>
          <w:rFonts w:hint="eastAsia" w:ascii="Times New Roman" w:hAnsi="Times New Roman" w:eastAsia="仿宋_GB2312" w:cs="Times New Roman"/>
          <w:sz w:val="32"/>
          <w:szCs w:val="32"/>
          <w:highlight w:val="none"/>
          <w:shd w:val="clear" w:fill="FFFFFF"/>
          <w:lang w:val="en-US" w:eastAsia="zh-CN"/>
        </w:rPr>
        <w:t>《食品安全国家标准 食品添加剂使用标准》（GB 2760—2024）</w:t>
      </w:r>
      <w:r>
        <w:rPr>
          <w:rFonts w:hint="eastAsia" w:ascii="Times New Roman" w:hAnsi="Times New Roman" w:eastAsia="仿宋_GB2312" w:cs="Times New Roman"/>
          <w:spacing w:val="0"/>
          <w:sz w:val="32"/>
          <w:szCs w:val="32"/>
          <w:highlight w:val="none"/>
          <w:lang w:val="en-US" w:eastAsia="zh-CN"/>
        </w:rPr>
        <w:t>中规定</w:t>
      </w:r>
      <w:r>
        <w:rPr>
          <w:rFonts w:hint="default" w:ascii="Times New Roman" w:hAnsi="Times New Roman" w:eastAsia="仿宋_GB2312" w:cs="Times New Roman"/>
          <w:spacing w:val="0"/>
          <w:sz w:val="32"/>
          <w:szCs w:val="32"/>
          <w:highlight w:val="none"/>
        </w:rPr>
        <w:t>，防腐剂在混合使用时各自用量占其最大使用量的比例之和不应超过1。</w:t>
      </w:r>
      <w:r>
        <w:rPr>
          <w:rFonts w:hint="eastAsia" w:ascii="Calibri" w:hAnsi="Calibri" w:eastAsia="仿宋_GB2312" w:cs="Times New Roman"/>
          <w:kern w:val="2"/>
          <w:sz w:val="32"/>
          <w:szCs w:val="32"/>
          <w:highlight w:val="none"/>
          <w:lang w:val="en-US" w:eastAsia="zh-CN" w:bidi="ar-SA"/>
        </w:rPr>
        <w:t>腌渍</w:t>
      </w:r>
      <w:r>
        <w:rPr>
          <w:rFonts w:hint="eastAsia" w:ascii="Times New Roman" w:hAnsi="Times New Roman" w:eastAsia="仿宋_GB2312" w:cs="Times New Roman"/>
          <w:spacing w:val="0"/>
          <w:sz w:val="32"/>
          <w:szCs w:val="32"/>
          <w:highlight w:val="none"/>
          <w:lang w:val="en-US" w:eastAsia="zh-CN"/>
        </w:rPr>
        <w:t>的蔬菜</w:t>
      </w:r>
      <w:r>
        <w:rPr>
          <w:rFonts w:hint="default" w:ascii="Times New Roman" w:hAnsi="Times New Roman" w:eastAsia="仿宋_GB2312" w:cs="Times New Roman"/>
          <w:spacing w:val="0"/>
          <w:sz w:val="32"/>
          <w:szCs w:val="32"/>
          <w:highlight w:val="none"/>
        </w:rPr>
        <w:t>中防腐剂混合使用时各自用量占其最大使用量的比例之和</w:t>
      </w:r>
      <w:r>
        <w:rPr>
          <w:rFonts w:hint="eastAsia" w:ascii="Times New Roman" w:hAnsi="Times New Roman" w:eastAsia="仿宋_GB2312" w:cs="Times New Roman"/>
          <w:spacing w:val="0"/>
          <w:sz w:val="32"/>
          <w:szCs w:val="32"/>
          <w:highlight w:val="none"/>
          <w:lang w:val="en-US" w:eastAsia="zh-CN"/>
        </w:rPr>
        <w:t>超标</w:t>
      </w:r>
      <w:r>
        <w:rPr>
          <w:rFonts w:hint="default" w:ascii="Times New Roman" w:hAnsi="Times New Roman" w:eastAsia="仿宋_GB2312" w:cs="Times New Roman"/>
          <w:spacing w:val="0"/>
          <w:sz w:val="32"/>
          <w:szCs w:val="32"/>
          <w:highlight w:val="none"/>
        </w:rPr>
        <w:t>的原因，可能是生产企业在生产加工过程中未严格控制各防腐剂的用量。</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12"/>
          <w:kern w:val="2"/>
          <w:sz w:val="32"/>
          <w:szCs w:val="32"/>
          <w:lang w:val="en-US" w:eastAsia="zh-CN" w:bidi="ar-SA"/>
        </w:rPr>
      </w:pPr>
      <w:r>
        <w:rPr>
          <w:rFonts w:hint="eastAsia"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spacing w:val="-12"/>
          <w:kern w:val="2"/>
          <w:sz w:val="32"/>
          <w:szCs w:val="32"/>
          <w:lang w:val="en-US" w:eastAsia="zh-CN" w:bidi="ar-SA"/>
        </w:rPr>
        <w:t>菌落总数</w:t>
      </w:r>
    </w:p>
    <w:p>
      <w:pPr>
        <w:pStyle w:val="9"/>
        <w:widowControl w:val="0"/>
        <w:spacing w:after="0" w:line="594"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sz w:val="32"/>
          <w:szCs w:val="32"/>
          <w:lang w:val="en-US" w:eastAsia="zh-CN"/>
        </w:rPr>
        <w:t>菌落总数是指示性微生物指标，不是致病菌指标，反映食品在生产过程中的卫生状况。如果食品的菌落总数严重超标，将会破坏食品的营养成分，使食品失去食用价值；还会加速食品腐败变质，可能危害人体健康。</w:t>
      </w:r>
      <w:r>
        <w:rPr>
          <w:rFonts w:hint="eastAsia" w:ascii="Times New Roman" w:hAnsi="Times New Roman" w:eastAsia="仿宋_GB2312" w:cs="Times New Roman"/>
          <w:sz w:val="32"/>
          <w:szCs w:val="32"/>
          <w:lang w:val="en-US" w:eastAsia="zh-CN"/>
        </w:rPr>
        <w:t>《食品安全国家标准 饮料》（GB 7101—2022）中规定，果蔬汁（浆）、其他饮</w:t>
      </w:r>
      <w:r>
        <w:rPr>
          <w:rFonts w:hint="eastAsia" w:ascii="Times New Roman" w:hAnsi="Times New Roman" w:eastAsia="仿宋_GB2312" w:cs="Times New Roman"/>
          <w:color w:val="auto"/>
          <w:sz w:val="32"/>
          <w:szCs w:val="32"/>
          <w:lang w:val="en-US" w:eastAsia="zh-CN"/>
        </w:rPr>
        <w:t>料中同一批次产品5个样品的菌落总数检验结果均不得超过10</w:t>
      </w:r>
      <w:r>
        <w:rPr>
          <w:rFonts w:hint="eastAsia" w:ascii="Times New Roman" w:hAnsi="Times New Roman" w:eastAsia="仿宋_GB2312" w:cs="Times New Roman"/>
          <w:color w:val="auto"/>
          <w:sz w:val="32"/>
          <w:szCs w:val="32"/>
          <w:vertAlign w:val="superscript"/>
          <w:lang w:val="en-US" w:eastAsia="zh-CN"/>
        </w:rPr>
        <w:t>4</w:t>
      </w:r>
      <w:r>
        <w:rPr>
          <w:rFonts w:hint="eastAsia" w:ascii="Times New Roman" w:hAnsi="Times New Roman" w:eastAsia="仿宋_GB2312" w:cs="Times New Roman"/>
          <w:color w:val="auto"/>
          <w:sz w:val="32"/>
          <w:szCs w:val="32"/>
          <w:lang w:val="en-US" w:eastAsia="zh-CN"/>
        </w:rPr>
        <w:t>CFU/mL，且最多允许2个样品的检验结果超过10</w:t>
      </w:r>
      <w:r>
        <w:rPr>
          <w:rFonts w:hint="eastAsia" w:ascii="Times New Roman" w:hAnsi="Times New Roman" w:eastAsia="仿宋_GB2312" w:cs="Times New Roman"/>
          <w:color w:val="auto"/>
          <w:sz w:val="32"/>
          <w:szCs w:val="32"/>
          <w:vertAlign w:val="superscript"/>
          <w:lang w:val="en-US" w:eastAsia="zh-CN"/>
        </w:rPr>
        <w:t>2</w:t>
      </w:r>
      <w:r>
        <w:rPr>
          <w:rFonts w:hint="eastAsia" w:ascii="Times New Roman" w:hAnsi="Times New Roman" w:eastAsia="仿宋_GB2312" w:cs="Times New Roman"/>
          <w:color w:val="auto"/>
          <w:sz w:val="32"/>
          <w:szCs w:val="32"/>
          <w:lang w:val="en-US" w:eastAsia="zh-CN"/>
        </w:rPr>
        <w:t>CFU/mL；</w:t>
      </w:r>
      <w:r>
        <w:rPr>
          <w:rFonts w:ascii="Times New Roman" w:hAnsi="Times New Roman" w:eastAsia="仿宋_GB2312" w:cs="Times New Roman"/>
          <w:sz w:val="32"/>
          <w:szCs w:val="32"/>
        </w:rPr>
        <w:t xml:space="preserve">《食品安全国家标准 </w:t>
      </w:r>
      <w:r>
        <w:rPr>
          <w:rFonts w:hint="eastAsia" w:ascii="Times New Roman" w:hAnsi="Times New Roman" w:eastAsia="仿宋_GB2312" w:cs="Times New Roman"/>
          <w:kern w:val="2"/>
          <w:sz w:val="32"/>
          <w:szCs w:val="32"/>
          <w:highlight w:val="none"/>
          <w:lang w:val="en-US" w:eastAsia="zh-CN" w:bidi="ar-SA"/>
        </w:rPr>
        <w:t>熟肉制品</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 xml:space="preserve">GB </w:t>
      </w:r>
      <w:r>
        <w:rPr>
          <w:rFonts w:hint="eastAsia" w:ascii="Times New Roman" w:hAnsi="Times New Roman" w:eastAsia="仿宋_GB2312" w:cs="Times New Roman"/>
          <w:sz w:val="32"/>
          <w:szCs w:val="32"/>
          <w:lang w:val="en-US" w:eastAsia="zh-CN"/>
        </w:rPr>
        <w:t>2726</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）中规定，</w:t>
      </w:r>
      <w:r>
        <w:rPr>
          <w:rFonts w:hint="default" w:ascii="Times New Roman" w:hAnsi="Times New Roman" w:eastAsia="仿宋_GB2312" w:cs="Times New Roman"/>
          <w:sz w:val="32"/>
          <w:szCs w:val="32"/>
        </w:rPr>
        <w:t>熟肉制品（除发酵肉制品外）同一批次产品5个样品的菌落总数</w:t>
      </w:r>
      <w:r>
        <w:rPr>
          <w:rFonts w:hint="eastAsia" w:ascii="Times New Roman" w:hAnsi="Times New Roman" w:eastAsia="仿宋_GB2312" w:cs="Times New Roman"/>
          <w:sz w:val="32"/>
          <w:szCs w:val="32"/>
          <w:lang w:val="en-US" w:eastAsia="zh-CN"/>
        </w:rPr>
        <w:t>检验</w:t>
      </w:r>
      <w:r>
        <w:rPr>
          <w:rFonts w:hint="default" w:ascii="Times New Roman" w:hAnsi="Times New Roman" w:eastAsia="仿宋_GB2312" w:cs="Times New Roman"/>
          <w:sz w:val="32"/>
          <w:szCs w:val="32"/>
        </w:rPr>
        <w:t>结果均不得超过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vertAlign w:val="superscript"/>
          <w:lang w:val="en-US" w:eastAsia="zh-CN"/>
        </w:rPr>
        <w:t>5</w:t>
      </w:r>
      <w:r>
        <w:rPr>
          <w:rFonts w:hint="default" w:ascii="Times New Roman" w:hAnsi="Times New Roman" w:eastAsia="仿宋_GB2312" w:cs="Times New Roman"/>
          <w:sz w:val="32"/>
          <w:szCs w:val="32"/>
        </w:rPr>
        <w:t>CFU/</w:t>
      </w:r>
      <w:r>
        <w:rPr>
          <w:rFonts w:hint="eastAsia" w:ascii="Times New Roman" w:hAnsi="Times New Roman" w:eastAsia="仿宋_GB2312" w:cs="Times New Roman"/>
          <w:sz w:val="32"/>
          <w:szCs w:val="32"/>
          <w:lang w:val="en-US" w:eastAsia="zh-CN"/>
        </w:rPr>
        <w:t>g</w:t>
      </w:r>
      <w:r>
        <w:rPr>
          <w:rFonts w:hint="default" w:ascii="Times New Roman" w:hAnsi="Times New Roman" w:eastAsia="仿宋_GB2312" w:cs="Times New Roman"/>
          <w:sz w:val="32"/>
          <w:szCs w:val="32"/>
        </w:rPr>
        <w:t>，且最多允许2个样品的</w:t>
      </w:r>
      <w:r>
        <w:rPr>
          <w:rFonts w:hint="eastAsia" w:ascii="Times New Roman" w:hAnsi="Times New Roman" w:eastAsia="仿宋_GB2312" w:cs="Times New Roman"/>
          <w:sz w:val="32"/>
          <w:szCs w:val="32"/>
          <w:lang w:val="en-US" w:eastAsia="zh-CN"/>
        </w:rPr>
        <w:t>检验</w:t>
      </w:r>
      <w:r>
        <w:rPr>
          <w:rFonts w:hint="default" w:ascii="Times New Roman" w:hAnsi="Times New Roman" w:eastAsia="仿宋_GB2312" w:cs="Times New Roman"/>
          <w:sz w:val="32"/>
          <w:szCs w:val="32"/>
        </w:rPr>
        <w:t>结果超过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vertAlign w:val="superscript"/>
          <w:lang w:val="en-US" w:eastAsia="zh-CN"/>
        </w:rPr>
        <w:t>4</w:t>
      </w:r>
      <w:r>
        <w:rPr>
          <w:rFonts w:hint="default" w:ascii="Times New Roman" w:hAnsi="Times New Roman" w:eastAsia="仿宋_GB2312" w:cs="Times New Roman"/>
          <w:sz w:val="32"/>
          <w:szCs w:val="32"/>
        </w:rPr>
        <w:t>CFU/</w:t>
      </w:r>
      <w:r>
        <w:rPr>
          <w:rFonts w:hint="eastAsia" w:ascii="Times New Roman" w:hAnsi="Times New Roman" w:eastAsia="仿宋_GB2312" w:cs="Times New Roman"/>
          <w:sz w:val="32"/>
          <w:szCs w:val="32"/>
          <w:lang w:val="en-US" w:eastAsia="zh-CN"/>
        </w:rPr>
        <w:t>g；</w:t>
      </w:r>
      <w:r>
        <w:rPr>
          <w:rFonts w:hint="default" w:ascii="Times New Roman" w:hAnsi="Times New Roman" w:eastAsia="仿宋_GB2312" w:cs="Times New Roman"/>
          <w:color w:val="auto"/>
          <w:sz w:val="32"/>
          <w:szCs w:val="32"/>
          <w:highlight w:val="none"/>
        </w:rPr>
        <w:t>《安徽本草怡堂健康科技有限公司食品安全企业标准</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方便</w:t>
      </w:r>
      <w:r>
        <w:rPr>
          <w:rFonts w:hint="eastAsia" w:ascii="Times New Roman" w:hAnsi="Times New Roman" w:eastAsia="仿宋_GB2312" w:cs="Times New Roman"/>
          <w:color w:val="auto"/>
          <w:sz w:val="32"/>
          <w:szCs w:val="32"/>
          <w:highlight w:val="none"/>
          <w:lang w:val="en-US" w:eastAsia="zh-CN"/>
        </w:rPr>
        <w:t>冲调制品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Q/BCYT 0009S</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lang w:val="en-US" w:eastAsia="zh-CN"/>
        </w:rPr>
        <w:t>24</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Calibri" w:hAnsi="Calibri" w:eastAsia="仿宋_GB2312" w:cs="Times New Roman"/>
          <w:sz w:val="32"/>
          <w:szCs w:val="32"/>
        </w:rPr>
        <w:t>，同一批次产品</w:t>
      </w:r>
      <w:r>
        <w:rPr>
          <w:rFonts w:ascii="Times New Roman" w:hAnsi="Times New Roman" w:eastAsia="仿宋_GB2312" w:cs="Times New Roman"/>
          <w:sz w:val="32"/>
          <w:szCs w:val="32"/>
        </w:rPr>
        <w:t>5</w:t>
      </w:r>
      <w:r>
        <w:rPr>
          <w:rFonts w:hint="eastAsia" w:ascii="Calibri" w:hAnsi="Calibri" w:eastAsia="仿宋_GB2312" w:cs="Times New Roman"/>
          <w:sz w:val="32"/>
          <w:szCs w:val="32"/>
        </w:rPr>
        <w:t>个样品的</w:t>
      </w:r>
      <w:r>
        <w:rPr>
          <w:rFonts w:hint="eastAsia" w:ascii="Calibri" w:hAnsi="Calibri" w:eastAsia="仿宋_GB2312" w:cs="Times New Roman"/>
          <w:sz w:val="32"/>
          <w:szCs w:val="32"/>
          <w:lang w:val="en-US" w:eastAsia="zh-CN"/>
        </w:rPr>
        <w:t>菌落总数</w:t>
      </w:r>
      <w:r>
        <w:rPr>
          <w:rFonts w:hint="eastAsia" w:ascii="Calibri" w:hAnsi="Calibri" w:eastAsia="仿宋_GB2312" w:cs="Times New Roman"/>
          <w:sz w:val="32"/>
          <w:szCs w:val="32"/>
        </w:rPr>
        <w:t>检测结果均不得超过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vertAlign w:val="superscript"/>
          <w:lang w:val="en-US" w:eastAsia="zh-CN"/>
        </w:rPr>
        <w:t>5</w:t>
      </w:r>
      <w:r>
        <w:rPr>
          <w:rFonts w:hint="eastAsia" w:ascii="Times New Roman" w:hAnsi="Times New Roman" w:eastAsia="仿宋_GB2312" w:cs="Times New Roman"/>
          <w:sz w:val="32"/>
          <w:szCs w:val="32"/>
        </w:rPr>
        <w:t>CFU/g</w:t>
      </w:r>
      <w:r>
        <w:rPr>
          <w:rFonts w:hint="eastAsia" w:ascii="Calibri" w:hAnsi="Calibri" w:eastAsia="仿宋_GB2312" w:cs="Times New Roman"/>
          <w:sz w:val="32"/>
          <w:szCs w:val="32"/>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检测结果超过</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vertAlign w:val="superscript"/>
          <w:lang w:val="en-US" w:eastAsia="zh-CN"/>
        </w:rPr>
        <w:t>4</w:t>
      </w:r>
      <w:r>
        <w:rPr>
          <w:rFonts w:hint="eastAsia" w:ascii="Times New Roman" w:hAnsi="Times New Roman" w:eastAsia="仿宋_GB2312" w:cs="Times New Roman"/>
          <w:sz w:val="32"/>
          <w:szCs w:val="32"/>
        </w:rPr>
        <w:t>CFU/g</w:t>
      </w:r>
      <w:r>
        <w:rPr>
          <w:rFonts w:hint="eastAsia" w:ascii="Calibri" w:hAnsi="Calibri" w:eastAsia="仿宋_GB2312" w:cs="Times New Roman"/>
          <w:sz w:val="32"/>
          <w:szCs w:val="32"/>
        </w:rPr>
        <w:t>。</w:t>
      </w:r>
      <w:r>
        <w:rPr>
          <w:rFonts w:hint="eastAsia" w:ascii="Times New Roman" w:hAnsi="Times New Roman" w:eastAsia="仿宋_GB2312" w:cs="Times New Roman"/>
          <w:color w:val="auto"/>
          <w:sz w:val="32"/>
          <w:szCs w:val="32"/>
          <w:lang w:val="en-US" w:eastAsia="zh-CN"/>
        </w:rPr>
        <w:t>果蔬汁（浆）、其他饮料、</w:t>
      </w:r>
      <w:r>
        <w:rPr>
          <w:rFonts w:hint="eastAsia" w:ascii="Times New Roman" w:hAnsi="Times New Roman" w:eastAsia="仿宋_GB2312" w:cs="Times New Roman"/>
          <w:sz w:val="32"/>
          <w:szCs w:val="32"/>
          <w:lang w:val="en-US" w:eastAsia="zh-CN"/>
        </w:rPr>
        <w:t>酱卤肉制品、</w:t>
      </w:r>
      <w:r>
        <w:rPr>
          <w:rFonts w:hint="eastAsia" w:ascii="等线" w:hAnsi="等线" w:eastAsia="仿宋_GB2312" w:cs="Times New Roman"/>
          <w:sz w:val="32"/>
          <w:szCs w:val="32"/>
          <w:lang w:val="en-US" w:eastAsia="zh-CN"/>
        </w:rPr>
        <w:t>伏湿膏类方便食品</w:t>
      </w:r>
      <w:r>
        <w:rPr>
          <w:rFonts w:hint="eastAsia" w:ascii="Times New Roman" w:hAnsi="Times New Roman" w:eastAsia="仿宋_GB2312" w:cs="Times New Roman"/>
          <w:color w:val="auto"/>
          <w:sz w:val="32"/>
          <w:szCs w:val="32"/>
          <w:lang w:val="en-US" w:eastAsia="zh-CN"/>
        </w:rPr>
        <w:t>中</w:t>
      </w:r>
      <w:r>
        <w:rPr>
          <w:rFonts w:hint="default" w:ascii="Times New Roman" w:hAnsi="Times New Roman" w:eastAsia="仿宋_GB2312" w:cs="Times New Roman"/>
          <w:color w:val="auto"/>
          <w:sz w:val="32"/>
          <w:szCs w:val="32"/>
          <w:lang w:val="en-US" w:eastAsia="zh-CN"/>
        </w:rPr>
        <w:t>菌落总数超标的原因，可能是企业未按要求严格控制生产加工过程的卫生条件</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也可能与产品包装密封不严或储运条件不当等有关。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592" w:firstLineChars="200"/>
        <w:jc w:val="both"/>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auto"/>
          <w:spacing w:val="-12"/>
          <w:kern w:val="2"/>
          <w:sz w:val="32"/>
          <w:szCs w:val="32"/>
          <w:highlight w:val="none"/>
          <w:lang w:val="en-US" w:eastAsia="zh-CN" w:bidi="ar-SA"/>
        </w:rPr>
        <w:t>十一、</w:t>
      </w:r>
      <w:r>
        <w:rPr>
          <w:rFonts w:hint="eastAsia" w:ascii="黑体" w:hAnsi="黑体" w:eastAsia="黑体" w:cs="黑体"/>
          <w:color w:val="000000"/>
          <w:sz w:val="32"/>
          <w:szCs w:val="32"/>
          <w:highlight w:val="none"/>
          <w:lang w:eastAsia="zh-CN"/>
        </w:rPr>
        <w:t>大肠菌群</w:t>
      </w:r>
    </w:p>
    <w:p>
      <w:pPr>
        <w:spacing w:line="594" w:lineRule="exact"/>
        <w:ind w:firstLine="640" w:firstLineChars="200"/>
        <w:rPr>
          <w:rFonts w:hint="eastAsia" w:ascii="Times New Roman" w:hAnsi="Times New Roman" w:eastAsia="仿宋_GB2312" w:cs="黑体"/>
          <w:color w:val="auto"/>
          <w:spacing w:val="0"/>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大肠菌群是反映食品卫生质量以及提示生产加工环境潜在微生物风险的指示性指标，食品或消毒餐（饮）具中检出大肠菌群提示被致病菌（如沙门氏菌、志贺氏菌、致泻大肠埃希氏菌等）污染的可能性较大。如果消毒餐（饮）具中的大肠菌群严重超标，会直接污染接触的食品，可能危害人体健康。如果食品中的大肠菌群严重超标，将会破坏食品的营养成分，使食品失去食用价值；还会加速食品腐败变质，可能危害人体健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消毒餐（饮）具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GB 14934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auto"/>
          <w:sz w:val="32"/>
          <w:szCs w:val="32"/>
          <w:highlight w:val="none"/>
          <w:lang w:val="en-US" w:eastAsia="zh-CN"/>
        </w:rPr>
        <w:t>消毒餐（饮）具</w:t>
      </w:r>
      <w:r>
        <w:rPr>
          <w:rFonts w:hint="default"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rPr>
        <w:t>大肠菌群</w:t>
      </w:r>
      <w:r>
        <w:rPr>
          <w:rFonts w:hint="default" w:ascii="Times New Roman" w:hAnsi="Times New Roman" w:eastAsia="仿宋_GB2312" w:cs="Times New Roman"/>
          <w:sz w:val="32"/>
          <w:szCs w:val="32"/>
          <w:highlight w:val="none"/>
          <w:lang w:val="en-US" w:eastAsia="zh-CN"/>
        </w:rPr>
        <w:t>限量为不得检出/50cm</w:t>
      </w:r>
      <w:r>
        <w:rPr>
          <w:rFonts w:hint="default" w:ascii="Times New Roman" w:hAnsi="Times New Roman" w:eastAsia="仿宋_GB2312" w:cs="Times New Roman"/>
          <w:sz w:val="32"/>
          <w:szCs w:val="32"/>
          <w:highlight w:val="none"/>
          <w:vertAlign w:val="superscript"/>
          <w:lang w:val="en-US" w:eastAsia="zh-CN"/>
        </w:rPr>
        <w:t>2</w:t>
      </w:r>
      <w:r>
        <w:rPr>
          <w:rFonts w:hint="eastAsia" w:ascii="Times New Roman" w:hAnsi="Times New Roman" w:eastAsia="仿宋_GB2312" w:cs="Times New Roman"/>
          <w:kern w:val="2"/>
          <w:sz w:val="32"/>
          <w:szCs w:val="32"/>
          <w:highlight w:val="none"/>
          <w:lang w:val="en-US" w:eastAsia="zh-CN" w:bidi="ar-SA"/>
        </w:rPr>
        <w:t>；</w:t>
      </w:r>
      <w:r>
        <w:rPr>
          <w:rFonts w:ascii="Times New Roman" w:hAnsi="Times New Roman" w:eastAsia="仿宋_GB2312" w:cs="Times New Roman"/>
          <w:sz w:val="32"/>
          <w:szCs w:val="32"/>
        </w:rPr>
        <w:t xml:space="preserve">《食品安全国家标准 </w:t>
      </w:r>
      <w:r>
        <w:rPr>
          <w:rFonts w:hint="eastAsia" w:ascii="Times New Roman" w:hAnsi="Times New Roman" w:eastAsia="仿宋_GB2312" w:cs="Times New Roman"/>
          <w:kern w:val="2"/>
          <w:sz w:val="32"/>
          <w:szCs w:val="32"/>
          <w:highlight w:val="none"/>
          <w:lang w:val="en-US" w:eastAsia="zh-CN" w:bidi="ar-SA"/>
        </w:rPr>
        <w:t>熟肉制品</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rPr>
        <w:t xml:space="preserve">GB </w:t>
      </w:r>
      <w:r>
        <w:rPr>
          <w:rFonts w:hint="eastAsia" w:ascii="Times New Roman" w:hAnsi="Times New Roman" w:eastAsia="仿宋_GB2312" w:cs="Times New Roman"/>
          <w:sz w:val="32"/>
          <w:szCs w:val="32"/>
          <w:lang w:val="en-US" w:eastAsia="zh-CN"/>
        </w:rPr>
        <w:t>2726</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201</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）中规定，</w:t>
      </w:r>
      <w:r>
        <w:rPr>
          <w:rFonts w:hint="default" w:ascii="Times New Roman" w:hAnsi="Times New Roman" w:eastAsia="仿宋_GB2312" w:cs="Times New Roman"/>
          <w:sz w:val="32"/>
          <w:szCs w:val="32"/>
        </w:rPr>
        <w:t>熟肉制品</w:t>
      </w:r>
      <w:r>
        <w:rPr>
          <w:rFonts w:hint="eastAsia" w:eastAsia="仿宋_GB2312" w:cs="Times New Roman"/>
          <w:sz w:val="32"/>
          <w:szCs w:val="32"/>
        </w:rPr>
        <w:t>同一批次产品</w:t>
      </w:r>
      <w:r>
        <w:rPr>
          <w:rFonts w:ascii="Times New Roman" w:hAnsi="Times New Roman" w:eastAsia="仿宋_GB2312" w:cs="Times New Roman"/>
          <w:sz w:val="32"/>
          <w:szCs w:val="32"/>
        </w:rPr>
        <w:t>5</w:t>
      </w:r>
      <w:r>
        <w:rPr>
          <w:rFonts w:hint="eastAsia" w:eastAsia="仿宋_GB2312" w:cs="Times New Roman"/>
          <w:sz w:val="32"/>
          <w:szCs w:val="32"/>
        </w:rPr>
        <w:t>个样品的</w:t>
      </w:r>
      <w:r>
        <w:rPr>
          <w:rFonts w:hint="default" w:ascii="Times New Roman" w:hAnsi="Times New Roman" w:eastAsia="仿宋_GB2312" w:cs="Times New Roman"/>
          <w:kern w:val="2"/>
          <w:sz w:val="32"/>
          <w:szCs w:val="32"/>
          <w:highlight w:val="none"/>
          <w:lang w:val="en-US" w:eastAsia="zh-CN" w:bidi="ar-SA"/>
        </w:rPr>
        <w:t>大肠菌群</w:t>
      </w:r>
      <w:r>
        <w:rPr>
          <w:rFonts w:hint="eastAsia" w:eastAsia="仿宋_GB2312" w:cs="Times New Roman"/>
          <w:sz w:val="32"/>
          <w:szCs w:val="32"/>
        </w:rPr>
        <w:t>检</w:t>
      </w:r>
      <w:r>
        <w:rPr>
          <w:rFonts w:hint="eastAsia" w:eastAsia="仿宋_GB2312" w:cs="Times New Roman"/>
          <w:sz w:val="32"/>
          <w:szCs w:val="32"/>
          <w:lang w:val="en-US" w:eastAsia="zh-CN"/>
        </w:rPr>
        <w:t>验</w:t>
      </w:r>
      <w:r>
        <w:rPr>
          <w:rFonts w:hint="eastAsia" w:eastAsia="仿宋_GB2312" w:cs="Times New Roman"/>
          <w:sz w:val="32"/>
          <w:szCs w:val="32"/>
        </w:rPr>
        <w:t>结果均不得超过</w:t>
      </w:r>
      <w:r>
        <w:rPr>
          <w:rFonts w:hint="eastAsia" w:ascii="Times New Roman" w:hAnsi="Times New Roman" w:eastAsia="仿宋_GB2312" w:cs="Times New Roman"/>
          <w:sz w:val="32"/>
          <w:szCs w:val="32"/>
        </w:rPr>
        <w:t>10</w:t>
      </w:r>
      <w:r>
        <w:rPr>
          <w:rFonts w:hint="eastAsia" w:ascii="Times New Roman" w:hAnsi="Times New Roman" w:eastAsia="仿宋_GB2312" w:cs="Times New Roman"/>
          <w:sz w:val="32"/>
          <w:szCs w:val="32"/>
          <w:vertAlign w:val="superscript"/>
          <w:lang w:val="en-US" w:eastAsia="zh-CN"/>
        </w:rPr>
        <w:t>2</w:t>
      </w:r>
      <w:r>
        <w:rPr>
          <w:rFonts w:hint="eastAsia" w:ascii="Times New Roman" w:hAnsi="Times New Roman" w:eastAsia="仿宋_GB2312" w:cs="Times New Roman"/>
          <w:sz w:val="32"/>
          <w:szCs w:val="32"/>
        </w:rPr>
        <w:t>CFU/g</w:t>
      </w:r>
      <w:r>
        <w:rPr>
          <w:rFonts w:hint="eastAsia" w:eastAsia="仿宋_GB2312" w:cs="Times New Roman"/>
          <w:sz w:val="32"/>
          <w:szCs w:val="32"/>
        </w:rPr>
        <w:t>，</w:t>
      </w:r>
      <w:r>
        <w:rPr>
          <w:rFonts w:ascii="Times New Roman" w:hAnsi="Times New Roman" w:eastAsia="仿宋_GB2312" w:cs="Times New Roman"/>
          <w:sz w:val="32"/>
          <w:szCs w:val="32"/>
          <w:highlight w:val="none"/>
        </w:rPr>
        <w:t>且最多允许2个样品的</w:t>
      </w:r>
      <w:r>
        <w:rPr>
          <w:rFonts w:ascii="Times New Roman" w:hAnsi="Times New Roman" w:eastAsia="仿宋_GB2312" w:cs="Times New Roman"/>
          <w:color w:val="000000"/>
          <w:sz w:val="32"/>
          <w:szCs w:val="32"/>
          <w:highlight w:val="none"/>
        </w:rPr>
        <w:t>检</w:t>
      </w:r>
      <w:r>
        <w:rPr>
          <w:rFonts w:hint="eastAsia" w:eastAsia="仿宋_GB2312" w:cs="Times New Roman"/>
          <w:sz w:val="32"/>
          <w:szCs w:val="32"/>
          <w:lang w:val="en-US" w:eastAsia="zh-CN"/>
        </w:rPr>
        <w:t>验</w:t>
      </w:r>
      <w:r>
        <w:rPr>
          <w:rFonts w:ascii="Times New Roman" w:hAnsi="Times New Roman" w:eastAsia="仿宋_GB2312" w:cs="Times New Roman"/>
          <w:color w:val="000000"/>
          <w:sz w:val="32"/>
          <w:szCs w:val="32"/>
          <w:highlight w:val="none"/>
        </w:rPr>
        <w:t>结果超过</w:t>
      </w:r>
      <w:r>
        <w:rPr>
          <w:rFonts w:hint="eastAsia" w:ascii="Times New Roman" w:hAnsi="Times New Roman" w:eastAsia="仿宋_GB2312" w:cs="Times New Roman"/>
          <w:sz w:val="32"/>
          <w:szCs w:val="32"/>
        </w:rPr>
        <w:t>10CFU/g</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消毒餐（饮）具</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kern w:val="2"/>
          <w:sz w:val="32"/>
          <w:szCs w:val="32"/>
          <w:highlight w:val="none"/>
          <w:lang w:val="en-US" w:eastAsia="zh-CN" w:bidi="ar-SA"/>
        </w:rPr>
        <w:t>酱卤肉制品</w:t>
      </w:r>
      <w:r>
        <w:rPr>
          <w:rFonts w:hint="default" w:ascii="Times New Roman" w:hAnsi="Times New Roman" w:eastAsia="仿宋_GB2312" w:cs="Times New Roman"/>
          <w:kern w:val="2"/>
          <w:sz w:val="32"/>
          <w:szCs w:val="32"/>
          <w:highlight w:val="none"/>
          <w:lang w:val="en-US" w:eastAsia="zh-CN" w:bidi="ar-SA"/>
        </w:rPr>
        <w:t>中大肠菌群数超标的原因，可能是在消毒过程中受人员、工器具等的污染；可能是消毒工艺不彻底导致的；</w:t>
      </w:r>
      <w:r>
        <w:rPr>
          <w:rFonts w:hint="eastAsia" w:ascii="Times New Roman" w:hAnsi="Times New Roman" w:eastAsia="仿宋_GB2312" w:cs="Times New Roman"/>
          <w:kern w:val="2"/>
          <w:sz w:val="32"/>
          <w:szCs w:val="32"/>
          <w:highlight w:val="none"/>
          <w:lang w:val="en-US" w:eastAsia="zh-CN" w:bidi="ar-SA"/>
        </w:rPr>
        <w:t>也可能是</w:t>
      </w:r>
      <w:r>
        <w:rPr>
          <w:rFonts w:hint="default" w:ascii="Times New Roman" w:hAnsi="Times New Roman" w:eastAsia="仿宋_GB2312" w:cs="Times New Roman"/>
          <w:kern w:val="2"/>
          <w:sz w:val="32"/>
          <w:szCs w:val="32"/>
          <w:highlight w:val="none"/>
          <w:lang w:val="en-US" w:eastAsia="zh-CN" w:bidi="ar-SA"/>
        </w:rPr>
        <w:t>产品的加工原料、包装材料受污染</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color w:val="auto"/>
          <w:sz w:val="32"/>
          <w:szCs w:val="32"/>
          <w:highlight w:val="none"/>
          <w:lang w:eastAsia="zh-CN"/>
        </w:rPr>
        <w:t>还可能</w:t>
      </w:r>
      <w:r>
        <w:rPr>
          <w:rFonts w:hint="default" w:ascii="Times New Roman" w:hAnsi="Times New Roman" w:eastAsia="仿宋_GB2312" w:cs="Times New Roman"/>
          <w:color w:val="auto"/>
          <w:sz w:val="32"/>
          <w:szCs w:val="32"/>
          <w:highlight w:val="none"/>
          <w:lang w:val="en-US" w:eastAsia="zh-CN"/>
        </w:rPr>
        <w:t>与</w:t>
      </w:r>
      <w:r>
        <w:rPr>
          <w:rFonts w:hint="default" w:ascii="Times New Roman" w:hAnsi="Times New Roman" w:eastAsia="仿宋_GB2312" w:cs="Times New Roman"/>
          <w:color w:val="auto"/>
          <w:sz w:val="32"/>
          <w:szCs w:val="32"/>
          <w:highlight w:val="none"/>
          <w:lang w:eastAsia="zh-CN"/>
        </w:rPr>
        <w:t>储存条件不当有关。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40" w:firstLineChars="200"/>
        <w:jc w:val="both"/>
        <w:textAlignment w:val="auto"/>
        <w:rPr>
          <w:rFonts w:hint="eastAsia" w:ascii="方正黑体_GBK" w:hAnsi="方正黑体_GBK" w:eastAsia="方正黑体_GBK" w:cs="方正黑体_GBK"/>
          <w:color w:val="000000"/>
          <w:sz w:val="32"/>
          <w:szCs w:val="32"/>
          <w:highlight w:val="none"/>
          <w:lang w:eastAsia="zh-CN"/>
        </w:rPr>
      </w:pPr>
      <w:r>
        <w:rPr>
          <w:rFonts w:hint="eastAsia" w:ascii="黑体" w:hAnsi="黑体" w:eastAsia="黑体" w:cs="黑体"/>
          <w:color w:val="auto"/>
          <w:spacing w:val="0"/>
          <w:sz w:val="32"/>
          <w:szCs w:val="32"/>
          <w:highlight w:val="none"/>
          <w:lang w:val="en-US" w:eastAsia="zh-CN"/>
        </w:rPr>
        <w:t>十二、</w:t>
      </w:r>
      <w:r>
        <w:rPr>
          <w:rFonts w:hint="eastAsia" w:ascii="黑体" w:hAnsi="黑体" w:eastAsia="黑体" w:cs="黑体"/>
          <w:color w:val="000000"/>
          <w:sz w:val="32"/>
          <w:szCs w:val="32"/>
          <w:highlight w:val="none"/>
          <w:lang w:eastAsia="zh-CN"/>
        </w:rPr>
        <w:t>阴离子合成洗涤剂（以十二烷基苯磺酸钠计）</w:t>
      </w:r>
    </w:p>
    <w:p>
      <w:pPr>
        <w:pStyle w:val="9"/>
        <w:numPr>
          <w:ilvl w:val="-1"/>
          <w:numId w:val="0"/>
        </w:numPr>
        <w:adjustRightInd/>
        <w:spacing w:after="0"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SA"/>
        </w:rPr>
        <w:t>阴离子合成洗涤剂主要成分是十二烷基苯磺酸钠，是洗衣粉、洗洁精、洗衣液、肥皂等洗涤剂的主要成分，是一种低毒物质，因其使用方便、易溶解、稳定性好、成本低等优点被广泛使用。阴离子合成洗涤剂是消毒餐（饮）具质量评价的重要指标之一。如果餐具清洗消毒过程中控制不当，会造成洗涤剂在餐具上的残留过量，可能对人体健康产生不良影响。</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食品安全国家标准</w:t>
      </w:r>
      <w:r>
        <w:rPr>
          <w:rFonts w:hint="default" w:ascii="Times New Roman" w:hAnsi="Times New Roman" w:eastAsia="仿宋_GB2312" w:cs="Times New Roman"/>
          <w:color w:val="auto"/>
          <w:sz w:val="32"/>
          <w:szCs w:val="32"/>
          <w:highlight w:val="none"/>
          <w:lang w:val="en-US" w:eastAsia="zh-CN"/>
        </w:rPr>
        <w:t xml:space="preserve"> 消毒餐（饮）具</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GB 14934</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2016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auto"/>
          <w:sz w:val="32"/>
          <w:szCs w:val="32"/>
          <w:highlight w:val="none"/>
          <w:lang w:val="en-US" w:eastAsia="zh-CN"/>
        </w:rPr>
        <w:t>消毒餐（饮）具</w:t>
      </w:r>
      <w:r>
        <w:rPr>
          <w:rFonts w:hint="default" w:ascii="Times New Roman" w:hAnsi="Times New Roman" w:eastAsia="仿宋_GB2312" w:cs="Times New Roman"/>
          <w:sz w:val="32"/>
          <w:szCs w:val="32"/>
          <w:highlight w:val="none"/>
          <w:lang w:val="en-US" w:eastAsia="zh-CN"/>
        </w:rPr>
        <w:t>的阴离子合成洗涤剂（以十二烷基苯磺酸钠计）限量为不得检出/100cm</w:t>
      </w:r>
      <w:r>
        <w:rPr>
          <w:rFonts w:hint="default" w:ascii="Times New Roman" w:hAnsi="Times New Roman" w:eastAsia="仿宋_GB2312" w:cs="Times New Roman"/>
          <w:sz w:val="32"/>
          <w:szCs w:val="32"/>
          <w:highlight w:val="none"/>
          <w:vertAlign w:val="superscript"/>
          <w:lang w:val="en-US" w:eastAsia="zh-CN"/>
        </w:rPr>
        <w:t>2</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消毒</w:t>
      </w:r>
      <w:r>
        <w:rPr>
          <w:rFonts w:hint="default" w:ascii="Times New Roman" w:hAnsi="Times New Roman" w:eastAsia="仿宋_GB2312" w:cs="Times New Roman"/>
          <w:kern w:val="2"/>
          <w:sz w:val="32"/>
          <w:szCs w:val="32"/>
          <w:highlight w:val="none"/>
          <w:lang w:val="en-US" w:eastAsia="zh-CN" w:bidi="ar-SA"/>
        </w:rPr>
        <w:t>餐（饮）具中检出阴离子合成洗涤剂的原因</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可能是由于餐（饮）具消毒单位使用的洗涤剂不合格或使用量过大，或未经足够量清水冲洗，最终残留在餐（饮）具中。</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color w:val="auto"/>
          <w:spacing w:val="-12"/>
          <w:kern w:val="2"/>
          <w:sz w:val="32"/>
          <w:szCs w:val="32"/>
          <w:lang w:val="en-US" w:eastAsia="zh-CN" w:bidi="ar-SA"/>
        </w:rPr>
      </w:pPr>
      <w:r>
        <w:rPr>
          <w:rFonts w:hint="eastAsia" w:ascii="Times New Roman" w:hAnsi="Times New Roman" w:eastAsia="黑体" w:cs="Times New Roman"/>
          <w:color w:val="auto"/>
          <w:spacing w:val="0"/>
          <w:sz w:val="32"/>
          <w:szCs w:val="32"/>
          <w:highlight w:val="none"/>
          <w:lang w:val="en-US" w:eastAsia="zh-CN"/>
        </w:rPr>
        <w:t>十三</w:t>
      </w:r>
      <w:r>
        <w:rPr>
          <w:rFonts w:hint="default" w:ascii="Times New Roman" w:hAnsi="Times New Roman" w:eastAsia="黑体" w:cs="Times New Roman"/>
          <w:color w:val="auto"/>
          <w:spacing w:val="0"/>
          <w:sz w:val="32"/>
          <w:szCs w:val="32"/>
          <w:highlight w:val="none"/>
        </w:rPr>
        <w:t>、</w:t>
      </w:r>
      <w:r>
        <w:rPr>
          <w:rFonts w:hint="eastAsia" w:ascii="Times New Roman" w:hAnsi="Times New Roman" w:eastAsia="黑体" w:cs="Times New Roman"/>
          <w:color w:val="auto"/>
          <w:spacing w:val="-12"/>
          <w:kern w:val="2"/>
          <w:sz w:val="32"/>
          <w:szCs w:val="32"/>
          <w:lang w:val="en-US" w:eastAsia="zh-CN" w:bidi="ar-SA"/>
        </w:rPr>
        <w:t>霉菌</w:t>
      </w:r>
    </w:p>
    <w:p>
      <w:pPr>
        <w:pStyle w:val="9"/>
        <w:adjustRightInd w:val="0"/>
        <w:snapToGrid/>
        <w:spacing w:after="0" w:line="594"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highlight w:val="none"/>
        </w:rPr>
        <w:t>霉菌是评价食品质量安全的一项指示性指标，食品中霉菌数是指食品检样经过处理，在一定条件下培养后，计数所得1g或1mL检样中所形成的霉菌菌落数。如果食品中的霉菌严重超标，将会破坏食品的营养成分，使食品失去食用价值；长期食用霉菌超标的食品，可能会危害人体健康。</w:t>
      </w:r>
      <w:r>
        <w:rPr>
          <w:rFonts w:hint="default" w:ascii="Times New Roman" w:hAnsi="Times New Roman" w:eastAsia="仿宋_GB2312" w:cs="Times New Roman"/>
          <w:color w:val="auto"/>
          <w:spacing w:val="0"/>
          <w:sz w:val="32"/>
          <w:szCs w:val="32"/>
          <w:highlight w:val="none"/>
        </w:rPr>
        <w:t xml:space="preserve">《食品安全国家标准 </w:t>
      </w:r>
      <w:r>
        <w:rPr>
          <w:rFonts w:hint="default" w:ascii="Times New Roman" w:hAnsi="Times New Roman" w:eastAsia="仿宋_GB2312" w:cs="Times New Roman"/>
          <w:color w:val="auto"/>
          <w:spacing w:val="0"/>
          <w:sz w:val="32"/>
          <w:szCs w:val="32"/>
          <w:highlight w:val="none"/>
          <w:lang w:val="en-US" w:eastAsia="zh-CN"/>
        </w:rPr>
        <w:t>饮料</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 xml:space="preserve">GB </w:t>
      </w:r>
      <w:r>
        <w:rPr>
          <w:rFonts w:hint="default" w:ascii="Times New Roman" w:hAnsi="Times New Roman" w:eastAsia="仿宋_GB2312" w:cs="Times New Roman"/>
          <w:color w:val="auto"/>
          <w:spacing w:val="0"/>
          <w:sz w:val="32"/>
          <w:szCs w:val="32"/>
          <w:highlight w:val="none"/>
          <w:lang w:val="en-US" w:eastAsia="zh-CN"/>
        </w:rPr>
        <w:t>7101</w:t>
      </w:r>
      <w:r>
        <w:rPr>
          <w:rFonts w:hint="eastAsia" w:ascii="Times New Roman" w:hAnsi="Times New Roman"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rPr>
        <w:t>20</w:t>
      </w:r>
      <w:r>
        <w:rPr>
          <w:rFonts w:hint="default" w:ascii="Times New Roman" w:hAnsi="Times New Roman" w:eastAsia="仿宋_GB2312" w:cs="Times New Roman"/>
          <w:color w:val="auto"/>
          <w:spacing w:val="0"/>
          <w:sz w:val="32"/>
          <w:szCs w:val="32"/>
          <w:highlight w:val="none"/>
          <w:lang w:val="en-US" w:eastAsia="zh-CN"/>
        </w:rPr>
        <w:t>22</w:t>
      </w:r>
      <w:r>
        <w:rPr>
          <w:rFonts w:hint="default" w:ascii="Times New Roman" w:hAnsi="Times New Roman" w:eastAsia="仿宋_GB2312" w:cs="Times New Roman"/>
          <w:color w:val="auto"/>
          <w:spacing w:val="0"/>
          <w:sz w:val="32"/>
          <w:szCs w:val="32"/>
          <w:highlight w:val="none"/>
        </w:rPr>
        <w:t>）</w:t>
      </w:r>
      <w:r>
        <w:rPr>
          <w:rFonts w:hint="default" w:ascii="Times New Roman" w:hAnsi="Times New Roman" w:eastAsia="仿宋_GB2312" w:cs="Times New Roman"/>
          <w:color w:val="auto"/>
          <w:spacing w:val="0"/>
          <w:sz w:val="32"/>
          <w:szCs w:val="32"/>
          <w:highlight w:val="none"/>
          <w:lang w:val="en-US" w:eastAsia="zh-CN"/>
        </w:rPr>
        <w:t>中规定，</w:t>
      </w:r>
      <w:r>
        <w:rPr>
          <w:rFonts w:hint="eastAsia" w:ascii="Times New Roman" w:hAnsi="Times New Roman" w:eastAsia="仿宋_GB2312" w:cs="Times New Roman"/>
          <w:color w:val="auto"/>
          <w:spacing w:val="0"/>
          <w:sz w:val="32"/>
          <w:szCs w:val="32"/>
          <w:highlight w:val="none"/>
          <w:lang w:val="en-US" w:eastAsia="zh-CN"/>
        </w:rPr>
        <w:t>果蔬汁（浆）</w:t>
      </w:r>
      <w:r>
        <w:rPr>
          <w:rFonts w:hint="default" w:ascii="Times New Roman" w:hAnsi="Times New Roman" w:eastAsia="仿宋_GB2312" w:cs="Times New Roman"/>
          <w:color w:val="auto"/>
          <w:spacing w:val="0"/>
          <w:sz w:val="32"/>
          <w:szCs w:val="32"/>
          <w:highlight w:val="none"/>
          <w:lang w:val="en-US" w:eastAsia="zh-CN"/>
        </w:rPr>
        <w:t>中霉菌的最大限量值为</w:t>
      </w:r>
      <w:r>
        <w:rPr>
          <w:rFonts w:hint="eastAsia" w:ascii="Times New Roman" w:hAnsi="Times New Roman" w:eastAsia="仿宋_GB2312" w:cs="Times New Roman"/>
          <w:color w:val="auto"/>
          <w:spacing w:val="0"/>
          <w:sz w:val="32"/>
          <w:szCs w:val="32"/>
          <w:highlight w:val="none"/>
          <w:lang w:val="en-US" w:eastAsia="zh-CN"/>
        </w:rPr>
        <w:t>2</w:t>
      </w:r>
      <w:r>
        <w:rPr>
          <w:rFonts w:hint="default" w:ascii="Times New Roman" w:hAnsi="Times New Roman" w:eastAsia="仿宋_GB2312" w:cs="Times New Roman"/>
          <w:color w:val="auto"/>
          <w:spacing w:val="0"/>
          <w:sz w:val="32"/>
          <w:szCs w:val="32"/>
          <w:highlight w:val="none"/>
          <w:lang w:val="en-US" w:eastAsia="zh-CN"/>
        </w:rPr>
        <w:t>0CFU/</w:t>
      </w:r>
      <w:r>
        <w:rPr>
          <w:rFonts w:hint="eastAsia" w:ascii="Times New Roman" w:hAnsi="Times New Roman" w:eastAsia="仿宋_GB2312" w:cs="Times New Roman"/>
          <w:color w:val="auto"/>
          <w:sz w:val="32"/>
          <w:szCs w:val="32"/>
          <w:lang w:val="en-US" w:eastAsia="zh-CN"/>
        </w:rPr>
        <w:t>mL；</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食品安全国家标准</w:t>
      </w:r>
      <w:r>
        <w:rPr>
          <w:rFonts w:hint="eastAsia" w:ascii="Times New Roman" w:hAnsi="Times New Roman" w:eastAsia="仿宋_GB2312" w:cs="Times New Roman"/>
          <w:color w:val="auto"/>
          <w:sz w:val="32"/>
          <w:szCs w:val="32"/>
          <w:highlight w:val="none"/>
          <w:lang w:val="en-US" w:eastAsia="zh-CN"/>
        </w:rPr>
        <w:t xml:space="preserve"> 冲调谷物制品</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GB 19640</w:t>
      </w:r>
      <w:r>
        <w:rPr>
          <w:rFonts w:hint="eastAsia"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rPr>
        <w:t>201</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中规定，</w:t>
      </w:r>
      <w:r>
        <w:rPr>
          <w:rFonts w:hint="eastAsia" w:ascii="Times New Roman" w:hAnsi="Times New Roman" w:eastAsia="仿宋_GB2312" w:cs="Times New Roman"/>
          <w:color w:val="auto"/>
          <w:sz w:val="32"/>
          <w:szCs w:val="32"/>
          <w:highlight w:val="none"/>
          <w:lang w:val="en-US" w:eastAsia="zh-CN"/>
        </w:rPr>
        <w:t>冲调谷物制品</w:t>
      </w:r>
      <w:r>
        <w:rPr>
          <w:rFonts w:hint="default" w:ascii="Times New Roman" w:hAnsi="Times New Roman" w:eastAsia="仿宋_GB2312" w:cs="Times New Roman"/>
          <w:sz w:val="32"/>
          <w:szCs w:val="32"/>
          <w:highlight w:val="none"/>
          <w:lang w:val="en-US" w:eastAsia="zh-CN"/>
        </w:rPr>
        <w:t>同一批次产品5个样品的</w:t>
      </w:r>
      <w:r>
        <w:rPr>
          <w:rFonts w:hint="eastAsia" w:ascii="Times New Roman" w:hAnsi="Times New Roman" w:eastAsia="仿宋_GB2312"/>
          <w:kern w:val="0"/>
          <w:sz w:val="32"/>
          <w:szCs w:val="32"/>
          <w:lang w:eastAsia="zh-CN"/>
        </w:rPr>
        <w:t>霉菌检</w:t>
      </w:r>
      <w:r>
        <w:rPr>
          <w:rFonts w:hint="eastAsia" w:ascii="Times New Roman" w:hAnsi="Times New Roman" w:eastAsia="仿宋_GB2312"/>
          <w:kern w:val="0"/>
          <w:sz w:val="32"/>
          <w:szCs w:val="32"/>
          <w:lang w:val="en-US" w:eastAsia="zh-CN"/>
        </w:rPr>
        <w:t>验</w:t>
      </w:r>
      <w:r>
        <w:rPr>
          <w:rFonts w:hint="eastAsia" w:ascii="Times New Roman" w:hAnsi="Times New Roman" w:eastAsia="仿宋_GB2312"/>
          <w:kern w:val="0"/>
          <w:sz w:val="32"/>
          <w:szCs w:val="32"/>
        </w:rPr>
        <w:t>结果均不得超过10</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rPr>
        <w:t>CFU/g</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且</w:t>
      </w:r>
      <w:r>
        <w:rPr>
          <w:rFonts w:hint="default" w:ascii="Times New Roman" w:hAnsi="Times New Roman" w:eastAsia="仿宋_GB2312" w:cs="Times New Roman"/>
          <w:sz w:val="32"/>
          <w:szCs w:val="32"/>
          <w:highlight w:val="none"/>
          <w:lang w:val="en-US" w:eastAsia="zh-CN"/>
        </w:rPr>
        <w:t>最多允许2个样品的检</w:t>
      </w:r>
      <w:r>
        <w:rPr>
          <w:rFonts w:hint="eastAsia" w:ascii="Times New Roman" w:hAnsi="Times New Roman" w:eastAsia="仿宋_GB2312" w:cs="Times New Roman"/>
          <w:sz w:val="32"/>
          <w:szCs w:val="32"/>
          <w:highlight w:val="none"/>
          <w:lang w:val="en-US" w:eastAsia="zh-CN"/>
        </w:rPr>
        <w:t>验</w:t>
      </w:r>
      <w:r>
        <w:rPr>
          <w:rFonts w:hint="default" w:ascii="Times New Roman" w:hAnsi="Times New Roman" w:eastAsia="仿宋_GB2312" w:cs="Times New Roman"/>
          <w:sz w:val="32"/>
          <w:szCs w:val="32"/>
          <w:highlight w:val="none"/>
          <w:lang w:val="en-US" w:eastAsia="zh-CN"/>
        </w:rPr>
        <w:t>结果超过</w:t>
      </w:r>
      <w:r>
        <w:rPr>
          <w:rFonts w:hint="eastAsia"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lang w:val="en-US" w:eastAsia="zh-CN"/>
        </w:rPr>
        <w:t>CFU/g</w:t>
      </w:r>
      <w:r>
        <w:rPr>
          <w:rFonts w:hint="eastAsia" w:ascii="Times New Roman" w:hAnsi="Times New Roman" w:eastAsia="仿宋_GB2312"/>
          <w:kern w:val="0"/>
          <w:sz w:val="32"/>
          <w:szCs w:val="32"/>
        </w:rPr>
        <w:t>。</w:t>
      </w:r>
      <w:r>
        <w:rPr>
          <w:rFonts w:hint="eastAsia" w:ascii="Times New Roman" w:hAnsi="Times New Roman" w:eastAsia="仿宋_GB2312" w:cs="Times New Roman"/>
          <w:color w:val="auto"/>
          <w:spacing w:val="0"/>
          <w:sz w:val="32"/>
          <w:szCs w:val="32"/>
          <w:highlight w:val="none"/>
          <w:lang w:val="en-US" w:eastAsia="zh-CN"/>
        </w:rPr>
        <w:t>果蔬汁（浆）、</w:t>
      </w:r>
      <w:r>
        <w:rPr>
          <w:rFonts w:hint="eastAsia" w:ascii="Times New Roman" w:hAnsi="Times New Roman" w:eastAsia="仿宋_GB2312" w:cs="Times New Roman"/>
          <w:sz w:val="32"/>
          <w:szCs w:val="32"/>
          <w:lang w:val="en-US" w:eastAsia="zh-CN"/>
        </w:rPr>
        <w:t>冲调谷物制品</w:t>
      </w:r>
      <w:r>
        <w:rPr>
          <w:rFonts w:hint="default" w:ascii="Times New Roman" w:hAnsi="Times New Roman" w:eastAsia="仿宋_GB2312" w:cs="Times New Roman"/>
          <w:color w:val="auto"/>
          <w:spacing w:val="0"/>
          <w:sz w:val="32"/>
          <w:szCs w:val="32"/>
          <w:highlight w:val="none"/>
          <w:lang w:val="en-US" w:eastAsia="zh-CN"/>
        </w:rPr>
        <w:t>中霉菌数超标的原因，可能是原料或包装材料受到霉菌污</w:t>
      </w:r>
      <w:r>
        <w:rPr>
          <w:rFonts w:hint="default" w:ascii="Times New Roman" w:hAnsi="Times New Roman" w:eastAsia="仿宋_GB2312" w:cs="Times New Roman"/>
          <w:spacing w:val="0"/>
          <w:sz w:val="32"/>
          <w:szCs w:val="32"/>
          <w:highlight w:val="none"/>
          <w:lang w:val="en-US" w:eastAsia="zh-CN"/>
        </w:rPr>
        <w:t>染；也可能是产品在生产加工过程中卫生条件控制不到位；还可能与</w:t>
      </w:r>
      <w:r>
        <w:rPr>
          <w:rFonts w:hint="default" w:ascii="Times New Roman" w:hAnsi="Times New Roman" w:eastAsia="仿宋_GB2312" w:cs="Times New Roman"/>
          <w:sz w:val="32"/>
          <w:szCs w:val="32"/>
          <w:highlight w:val="none"/>
          <w:lang w:val="en-US" w:eastAsia="zh-CN"/>
        </w:rPr>
        <w:t>包装密封不严、储运条件控制不当</w:t>
      </w:r>
      <w:r>
        <w:rPr>
          <w:rFonts w:hint="default" w:ascii="Times New Roman" w:hAnsi="Times New Roman" w:eastAsia="仿宋_GB2312" w:cs="Times New Roman"/>
          <w:spacing w:val="0"/>
          <w:sz w:val="32"/>
          <w:szCs w:val="32"/>
          <w:highlight w:val="none"/>
          <w:lang w:val="en-US" w:eastAsia="zh-CN"/>
        </w:rPr>
        <w:t>有关。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572" w:firstLineChars="200"/>
        <w:jc w:val="both"/>
        <w:textAlignment w:val="auto"/>
        <w:rPr>
          <w:rFonts w:hint="eastAsia" w:ascii="Times New Roman" w:hAnsi="Times New Roman" w:eastAsia="黑体" w:cs="Times New Roman"/>
          <w:color w:val="000000"/>
          <w:sz w:val="32"/>
          <w:szCs w:val="32"/>
          <w:highlight w:val="none"/>
          <w:lang w:eastAsia="zh-CN"/>
        </w:rPr>
      </w:pPr>
      <w:r>
        <w:rPr>
          <w:rFonts w:hint="eastAsia" w:ascii="Times New Roman" w:hAnsi="Times New Roman" w:eastAsia="黑体" w:cs="Times New Roman"/>
          <w:color w:val="auto"/>
          <w:spacing w:val="-17"/>
          <w:sz w:val="32"/>
          <w:szCs w:val="32"/>
          <w:highlight w:val="none"/>
          <w:lang w:val="en-US" w:eastAsia="zh-CN"/>
        </w:rPr>
        <w:t>十四</w:t>
      </w:r>
      <w:r>
        <w:rPr>
          <w:rFonts w:hint="default" w:ascii="Times New Roman" w:hAnsi="Times New Roman" w:eastAsia="黑体" w:cs="Times New Roman"/>
          <w:color w:val="auto"/>
          <w:spacing w:val="-17"/>
          <w:sz w:val="32"/>
          <w:szCs w:val="32"/>
          <w:highlight w:val="none"/>
        </w:rPr>
        <w:t>、</w:t>
      </w:r>
      <w:r>
        <w:rPr>
          <w:rFonts w:hint="eastAsia" w:ascii="Times New Roman" w:hAnsi="Times New Roman" w:eastAsia="黑体" w:cs="Times New Roman"/>
          <w:color w:val="000000"/>
          <w:sz w:val="32"/>
          <w:szCs w:val="32"/>
          <w:highlight w:val="none"/>
          <w:lang w:eastAsia="zh-CN"/>
        </w:rPr>
        <w:t>铅（以Pb计）</w:t>
      </w:r>
    </w:p>
    <w:p>
      <w:pPr>
        <w:widowControl w:val="0"/>
        <w:numPr>
          <w:ilvl w:val="0"/>
          <w:numId w:val="0"/>
        </w:numPr>
        <w:spacing w:line="594" w:lineRule="exact"/>
        <w:ind w:firstLine="640" w:firstLineChars="200"/>
        <w:rPr>
          <w:rFonts w:hint="eastAsia" w:ascii="黑体" w:hAnsi="黑体" w:eastAsia="黑体" w:cs="黑体"/>
          <w:color w:val="auto"/>
          <w:sz w:val="32"/>
          <w:szCs w:val="32"/>
          <w:highlight w:val="none"/>
          <w:lang w:val="en-US" w:eastAsia="zh-CN"/>
        </w:rPr>
      </w:pPr>
      <w:r>
        <w:rPr>
          <w:rFonts w:hint="default" w:ascii="Times New Roman" w:hAnsi="Times New Roman" w:eastAsia="仿宋_GB2312" w:cs="Times New Roman"/>
          <w:spacing w:val="0"/>
          <w:kern w:val="2"/>
          <w:sz w:val="32"/>
          <w:szCs w:val="32"/>
          <w:lang w:val="en-US" w:eastAsia="zh-CN" w:bidi="ar-SA"/>
        </w:rPr>
        <w:t>铅是最常见的重金属污染物，是一种严重危害人体健康的重金属元素，可在人体内蓄积。长期摄入铅含量超标的食品，会对血液系统、神经系统产生损害</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《日照长荣生物科技有限公司企业标准</w:t>
      </w:r>
      <w:r>
        <w:rPr>
          <w:rFonts w:hint="eastAsia" w:ascii="Times New Roman" w:hAnsi="Times New Roman" w:eastAsia="仿宋_GB2312" w:cs="Times New Roman"/>
          <w:spacing w:val="0"/>
          <w:kern w:val="2"/>
          <w:sz w:val="32"/>
          <w:szCs w:val="32"/>
          <w:lang w:val="en-US" w:eastAsia="zh-CN" w:bidi="ar-SA"/>
        </w:rPr>
        <w:t xml:space="preserve"> 其他方便食品</w:t>
      </w:r>
      <w:r>
        <w:rPr>
          <w:rFonts w:hint="default" w:ascii="Times New Roman" w:hAnsi="Times New Roman" w:eastAsia="仿宋_GB2312" w:cs="Times New Roman"/>
          <w:spacing w:val="0"/>
          <w:kern w:val="2"/>
          <w:sz w:val="32"/>
          <w:szCs w:val="32"/>
          <w:lang w:val="en-US" w:eastAsia="zh-CN" w:bidi="ar-SA"/>
        </w:rPr>
        <w:t>》（</w:t>
      </w:r>
      <w:r>
        <w:rPr>
          <w:rFonts w:hint="eastAsia" w:ascii="Times New Roman" w:hAnsi="Times New Roman" w:eastAsia="仿宋_GB2312" w:cs="Times New Roman"/>
          <w:spacing w:val="0"/>
          <w:kern w:val="2"/>
          <w:sz w:val="32"/>
          <w:szCs w:val="32"/>
          <w:lang w:val="en-US" w:eastAsia="zh-CN" w:bidi="ar-SA"/>
        </w:rPr>
        <w:t>Q/CR 0005S—2024</w:t>
      </w:r>
      <w:r>
        <w:rPr>
          <w:rFonts w:hint="default" w:ascii="Times New Roman" w:hAnsi="Times New Roman" w:eastAsia="仿宋_GB2312" w:cs="Times New Roman"/>
          <w:spacing w:val="0"/>
          <w:kern w:val="2"/>
          <w:sz w:val="32"/>
          <w:szCs w:val="32"/>
          <w:lang w:val="en-US" w:eastAsia="zh-CN" w:bidi="ar-SA"/>
        </w:rPr>
        <w:t>）中规定</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铅（以Pb计）的</w:t>
      </w:r>
      <w:r>
        <w:rPr>
          <w:rFonts w:hint="eastAsia" w:ascii="Times New Roman" w:hAnsi="Times New Roman" w:eastAsia="仿宋_GB2312" w:cs="Times New Roman"/>
          <w:spacing w:val="0"/>
          <w:kern w:val="2"/>
          <w:sz w:val="32"/>
          <w:szCs w:val="32"/>
          <w:lang w:val="en-US" w:eastAsia="zh-CN" w:bidi="ar-SA"/>
        </w:rPr>
        <w:t>最大</w:t>
      </w:r>
      <w:r>
        <w:rPr>
          <w:rFonts w:hint="default" w:ascii="Times New Roman" w:hAnsi="Times New Roman" w:eastAsia="仿宋_GB2312" w:cs="Times New Roman"/>
          <w:spacing w:val="0"/>
          <w:kern w:val="2"/>
          <w:sz w:val="32"/>
          <w:szCs w:val="32"/>
          <w:lang w:val="en-US" w:eastAsia="zh-CN" w:bidi="ar-SA"/>
        </w:rPr>
        <w:t>限量值</w:t>
      </w:r>
      <w:r>
        <w:rPr>
          <w:rFonts w:hint="eastAsia" w:ascii="Times New Roman" w:hAnsi="Times New Roman" w:eastAsia="仿宋_GB2312" w:cs="Times New Roman"/>
          <w:spacing w:val="0"/>
          <w:kern w:val="2"/>
          <w:sz w:val="32"/>
          <w:szCs w:val="32"/>
          <w:lang w:val="en-US" w:eastAsia="zh-CN" w:bidi="ar-SA"/>
        </w:rPr>
        <w:t>为0.2</w:t>
      </w:r>
      <w:r>
        <w:rPr>
          <w:rFonts w:hint="default" w:ascii="Times New Roman" w:hAnsi="Times New Roman" w:eastAsia="仿宋_GB2312" w:cs="Times New Roman"/>
          <w:spacing w:val="0"/>
          <w:kern w:val="2"/>
          <w:sz w:val="32"/>
          <w:szCs w:val="32"/>
          <w:lang w:val="en-US" w:eastAsia="zh-CN" w:bidi="ar-SA"/>
        </w:rPr>
        <w:t>mg/kg</w:t>
      </w:r>
      <w:r>
        <w:rPr>
          <w:rFonts w:hint="eastAsia" w:ascii="Times New Roman" w:hAnsi="Times New Roman" w:eastAsia="仿宋_GB2312" w:cs="Times New Roman"/>
          <w:spacing w:val="0"/>
          <w:kern w:val="2"/>
          <w:sz w:val="32"/>
          <w:szCs w:val="32"/>
          <w:lang w:val="en-US" w:eastAsia="zh-CN" w:bidi="ar-SA"/>
        </w:rPr>
        <w:t>；《食品安全国家标准 食品中污染物限量》（GB 2762—2022）中规定，肉制品（畜禽内脏制品除外）中铅（以Pb计）最大限量值为0.3mg/kg。溶豆类方便食品、熏烧烤肉类（自制）中</w:t>
      </w:r>
      <w:r>
        <w:rPr>
          <w:rFonts w:hint="default" w:ascii="Times New Roman" w:hAnsi="Times New Roman" w:eastAsia="仿宋_GB2312" w:cs="Times New Roman"/>
          <w:spacing w:val="0"/>
          <w:kern w:val="2"/>
          <w:sz w:val="32"/>
          <w:szCs w:val="32"/>
          <w:lang w:val="en-US" w:eastAsia="zh-CN" w:bidi="ar-SA"/>
        </w:rPr>
        <w:t>铅（以Pb计）</w:t>
      </w:r>
      <w:r>
        <w:rPr>
          <w:rFonts w:hint="eastAsia" w:ascii="Times New Roman" w:hAnsi="Times New Roman" w:eastAsia="仿宋_GB2312" w:cs="Times New Roman"/>
          <w:spacing w:val="0"/>
          <w:kern w:val="2"/>
          <w:sz w:val="32"/>
          <w:szCs w:val="32"/>
          <w:lang w:val="en-US" w:eastAsia="zh-CN" w:bidi="ar-SA"/>
        </w:rPr>
        <w:t>检验值</w:t>
      </w:r>
      <w:r>
        <w:rPr>
          <w:rFonts w:hint="default" w:ascii="Times New Roman" w:hAnsi="Times New Roman" w:eastAsia="仿宋_GB2312" w:cs="Times New Roman"/>
          <w:spacing w:val="0"/>
          <w:kern w:val="2"/>
          <w:sz w:val="32"/>
          <w:szCs w:val="32"/>
          <w:lang w:val="en-US" w:eastAsia="zh-CN" w:bidi="ar-SA"/>
        </w:rPr>
        <w:t>超标的原因，可能是生产企业使用的原料中铅含量</w:t>
      </w:r>
      <w:r>
        <w:rPr>
          <w:rFonts w:hint="eastAsia" w:ascii="Times New Roman" w:hAnsi="Times New Roman" w:eastAsia="仿宋_GB2312" w:cs="Times New Roman"/>
          <w:spacing w:val="0"/>
          <w:kern w:val="2"/>
          <w:sz w:val="32"/>
          <w:szCs w:val="32"/>
          <w:lang w:val="en-US" w:eastAsia="zh-CN" w:bidi="ar-SA"/>
        </w:rPr>
        <w:t>较高；</w:t>
      </w:r>
      <w:r>
        <w:rPr>
          <w:rFonts w:hint="default" w:ascii="Times New Roman" w:hAnsi="Times New Roman" w:eastAsia="仿宋_GB2312" w:cs="Times New Roman"/>
          <w:spacing w:val="0"/>
          <w:kern w:val="2"/>
          <w:sz w:val="32"/>
          <w:szCs w:val="32"/>
          <w:lang w:val="en-US" w:eastAsia="zh-CN" w:bidi="ar-SA"/>
        </w:rPr>
        <w:t>也可能是生产设备或包装材料中的铅迁移带入。</w:t>
      </w:r>
    </w:p>
    <w:p>
      <w:pPr>
        <w:spacing w:line="594" w:lineRule="exact"/>
        <w:ind w:firstLine="640" w:firstLineChars="200"/>
        <w:rPr>
          <w:rFonts w:hint="eastAsia" w:ascii="黑体" w:hAnsi="黑体" w:eastAsia="黑体" w:cs="黑体"/>
          <w:spacing w:val="-12"/>
          <w:kern w:val="2"/>
          <w:sz w:val="32"/>
          <w:szCs w:val="32"/>
        </w:rPr>
      </w:pPr>
      <w:r>
        <w:rPr>
          <w:rFonts w:hint="eastAsia" w:ascii="黑体" w:hAnsi="黑体" w:eastAsia="黑体" w:cs="黑体"/>
          <w:color w:val="auto"/>
          <w:spacing w:val="0"/>
          <w:sz w:val="32"/>
          <w:szCs w:val="32"/>
          <w:highlight w:val="none"/>
          <w:lang w:val="en-US" w:eastAsia="zh-CN"/>
        </w:rPr>
        <w:t>十五</w:t>
      </w:r>
      <w:r>
        <w:rPr>
          <w:rFonts w:hint="eastAsia" w:ascii="黑体" w:hAnsi="黑体" w:eastAsia="黑体" w:cs="黑体"/>
          <w:color w:val="auto"/>
          <w:spacing w:val="0"/>
          <w:sz w:val="32"/>
          <w:szCs w:val="32"/>
          <w:highlight w:val="none"/>
        </w:rPr>
        <w:t>、</w:t>
      </w:r>
      <w:r>
        <w:rPr>
          <w:rFonts w:hint="eastAsia" w:ascii="黑体" w:hAnsi="黑体" w:eastAsia="黑体" w:cs="黑体"/>
          <w:spacing w:val="-12"/>
          <w:kern w:val="2"/>
          <w:sz w:val="32"/>
          <w:szCs w:val="32"/>
        </w:rPr>
        <w:t>苯并［a］芘</w:t>
      </w:r>
    </w:p>
    <w:p>
      <w:pPr>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napToGrid/>
        <w:spacing w:line="594"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rPr>
        <w:t>苯并［a］芘是持久性有机污染物多环芳烃化合物的一种，化学性质较稳定，可能对人体健康产生潜在的不良影响。《食品安全国家标准 食品中污染物限量》（GB 2762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）中规定，油脂及其制品中苯并［a］芘的最大限量值为10μg/kg。食用植物油中苯并［a］芘</w:t>
      </w:r>
      <w:r>
        <w:rPr>
          <w:rFonts w:hint="eastAsia" w:ascii="Times New Roman" w:hAnsi="Times New Roman" w:eastAsia="仿宋_GB2312" w:cs="Times New Roman"/>
          <w:sz w:val="32"/>
          <w:szCs w:val="32"/>
          <w:lang w:val="en-US" w:eastAsia="zh-CN"/>
        </w:rPr>
        <w:t>检验值</w:t>
      </w:r>
      <w:r>
        <w:rPr>
          <w:rFonts w:hint="default" w:ascii="Times New Roman" w:hAnsi="Times New Roman" w:eastAsia="仿宋_GB2312" w:cs="Times New Roman"/>
          <w:sz w:val="32"/>
          <w:szCs w:val="32"/>
        </w:rPr>
        <w:t>超标的原因，可能是生产过程中对原料反复烘烤或蒸炒时，高温导致苯并［a］芘含量上升；也可能是加工过程中接触润滑油、使用不符合要求的浸提溶剂等造成污染。</w:t>
      </w:r>
    </w:p>
    <w:p>
      <w:pPr>
        <w:keepNext w:val="0"/>
        <w:keepLines w:val="0"/>
        <w:pageBreakBefore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黑体" w:cs="Times New Roman"/>
          <w:color w:val="auto"/>
          <w:spacing w:val="-12"/>
          <w:sz w:val="32"/>
          <w:szCs w:val="32"/>
          <w:lang w:val="en-US" w:eastAsia="zh-CN"/>
        </w:rPr>
      </w:pPr>
      <w:r>
        <w:rPr>
          <w:rFonts w:hint="eastAsia" w:ascii="黑体" w:hAnsi="黑体" w:eastAsia="黑体" w:cs="黑体"/>
          <w:color w:val="auto"/>
          <w:spacing w:val="0"/>
          <w:sz w:val="32"/>
          <w:szCs w:val="32"/>
          <w:highlight w:val="none"/>
          <w:lang w:val="en-US" w:eastAsia="zh-CN"/>
        </w:rPr>
        <w:t>十六</w:t>
      </w:r>
      <w:r>
        <w:rPr>
          <w:rFonts w:hint="eastAsia" w:ascii="黑体" w:hAnsi="黑体" w:eastAsia="黑体" w:cs="黑体"/>
          <w:color w:val="auto"/>
          <w:spacing w:val="0"/>
          <w:sz w:val="32"/>
          <w:szCs w:val="32"/>
          <w:highlight w:val="none"/>
        </w:rPr>
        <w:t>、</w:t>
      </w:r>
      <w:r>
        <w:rPr>
          <w:rFonts w:hint="eastAsia" w:ascii="Times New Roman" w:hAnsi="Times New Roman" w:eastAsia="黑体" w:cs="Times New Roman"/>
          <w:color w:val="auto"/>
          <w:spacing w:val="-12"/>
          <w:sz w:val="32"/>
          <w:szCs w:val="32"/>
          <w:lang w:val="en-US" w:eastAsia="zh-CN"/>
        </w:rPr>
        <w:t>溴酸盐</w:t>
      </w:r>
    </w:p>
    <w:p>
      <w:pPr>
        <w:widowControl/>
        <w:spacing w:line="594" w:lineRule="exact"/>
        <w:ind w:firstLine="640" w:firstLineChars="200"/>
        <w:rPr>
          <w:rFonts w:hint="default" w:ascii="Times New Roman" w:hAnsi="Times New Roman" w:eastAsia="仿宋_GB2312" w:cs="Times New Roman"/>
          <w:color w:val="auto"/>
          <w:spacing w:val="0"/>
          <w:sz w:val="32"/>
          <w:szCs w:val="32"/>
          <w:highlight w:val="none"/>
          <w:lang w:val="en-US" w:eastAsia="zh-CN"/>
        </w:rPr>
      </w:pPr>
      <w:bookmarkStart w:id="0" w:name="hmcheck_1ceb93055b1543cc984b02229716b1fa"/>
      <w:r>
        <w:rPr>
          <w:rFonts w:hint="eastAsia" w:ascii="Times New Roman" w:hAnsi="Times New Roman" w:eastAsia="仿宋_GB2312" w:cs="Times New Roman"/>
          <w:sz w:val="32"/>
          <w:szCs w:val="32"/>
          <w:lang w:val="en-US" w:eastAsia="zh-CN"/>
        </w:rPr>
        <w:t>溴酸盐，一般在水中不存在，当水源水含有溴化物，并经臭氧消毒时，可产生无机消毒副产物溴酸盐，它是矿泉水及山泉水等多种天然水源在经过臭氧消毒后所生产的副产物。</w:t>
      </w:r>
      <w:r>
        <w:rPr>
          <w:rFonts w:hint="eastAsia" w:ascii="Times New Roman" w:hAnsi="Times New Roman" w:eastAsia="仿宋_GB2312" w:cs="Times New Roman"/>
          <w:kern w:val="2"/>
          <w:sz w:val="32"/>
          <w:szCs w:val="32"/>
          <w:shd w:val="clear" w:fill="FFFFFF"/>
          <w:lang w:val="en-US" w:eastAsia="zh-CN" w:bidi="ar-SA"/>
        </w:rPr>
        <w:t>《食品安全国家标准 饮用天然矿泉水》（</w:t>
      </w:r>
      <w:r>
        <w:rPr>
          <w:rFonts w:hint="default" w:ascii="Times New Roman" w:hAnsi="Times New Roman" w:eastAsia="仿宋_GB2312" w:cs="Times New Roman"/>
          <w:kern w:val="2"/>
          <w:sz w:val="32"/>
          <w:szCs w:val="32"/>
          <w:shd w:val="clear" w:fill="FFFFFF"/>
          <w:lang w:val="en-US" w:eastAsia="zh-CN" w:bidi="ar-SA"/>
        </w:rPr>
        <w:t>GB 8537</w:t>
      </w:r>
      <w:r>
        <w:rPr>
          <w:rFonts w:hint="eastAsia" w:ascii="Times New Roman" w:hAnsi="Times New Roman" w:eastAsia="仿宋_GB2312" w:cs="Times New Roman"/>
          <w:kern w:val="2"/>
          <w:sz w:val="32"/>
          <w:szCs w:val="32"/>
          <w:shd w:val="clear" w:fill="FFFFFF"/>
          <w:lang w:val="en-US" w:eastAsia="zh-CN" w:bidi="ar-SA"/>
        </w:rPr>
        <w:t>—</w:t>
      </w:r>
      <w:r>
        <w:rPr>
          <w:rFonts w:hint="default" w:ascii="Times New Roman" w:hAnsi="Times New Roman" w:eastAsia="仿宋_GB2312" w:cs="Times New Roman"/>
          <w:kern w:val="2"/>
          <w:sz w:val="32"/>
          <w:szCs w:val="32"/>
          <w:shd w:val="clear" w:fill="FFFFFF"/>
          <w:lang w:val="en-US" w:eastAsia="zh-CN" w:bidi="ar-SA"/>
        </w:rPr>
        <w:t>2018</w:t>
      </w:r>
      <w:r>
        <w:rPr>
          <w:rFonts w:hint="eastAsia" w:ascii="Times New Roman" w:hAnsi="Times New Roman" w:eastAsia="仿宋_GB2312" w:cs="Times New Roman"/>
          <w:kern w:val="2"/>
          <w:sz w:val="32"/>
          <w:szCs w:val="32"/>
          <w:shd w:val="clear" w:fill="FFFFFF"/>
          <w:lang w:val="en-US" w:eastAsia="zh-CN" w:bidi="ar-SA"/>
        </w:rPr>
        <w:t>）中规定，饮用天然矿泉水中溴酸盐最大限量值为</w:t>
      </w:r>
      <w:r>
        <w:rPr>
          <w:rFonts w:hint="default" w:ascii="Times New Roman" w:hAnsi="Times New Roman" w:eastAsia="仿宋_GB2312" w:cs="Times New Roman"/>
          <w:kern w:val="2"/>
          <w:sz w:val="32"/>
          <w:szCs w:val="32"/>
          <w:shd w:val="clear" w:fill="FFFFFF"/>
          <w:lang w:val="en-US" w:eastAsia="zh-CN" w:bidi="ar-SA"/>
        </w:rPr>
        <w:t>0.01</w:t>
      </w:r>
      <w:r>
        <w:rPr>
          <w:rFonts w:hint="eastAsia" w:ascii="Times New Roman" w:hAnsi="Times New Roman" w:eastAsia="仿宋_GB2312" w:cs="Times New Roman"/>
          <w:color w:val="auto"/>
          <w:sz w:val="32"/>
          <w:szCs w:val="32"/>
          <w:lang w:val="en-US" w:eastAsia="zh-CN"/>
        </w:rPr>
        <w:t>mg/L。饮用天然矿泉</w:t>
      </w:r>
      <w:r>
        <w:rPr>
          <w:rFonts w:hint="eastAsia" w:ascii="Times New Roman" w:hAnsi="Times New Roman" w:eastAsia="仿宋_GB2312" w:cs="Times New Roman"/>
          <w:sz w:val="32"/>
          <w:szCs w:val="32"/>
          <w:lang w:val="en-US" w:eastAsia="zh-CN"/>
        </w:rPr>
        <w:t>水中溴酸盐检验</w:t>
      </w:r>
      <w:r>
        <w:rPr>
          <w:rFonts w:hint="eastAsia" w:ascii="Times New Roman" w:hAnsi="Times New Roman" w:eastAsia="仿宋_GB2312" w:cs="Times New Roman"/>
          <w:color w:val="auto"/>
          <w:sz w:val="32"/>
          <w:szCs w:val="32"/>
          <w:lang w:val="en-US" w:eastAsia="zh-CN"/>
        </w:rPr>
        <w:t>值超标的原因，可能</w:t>
      </w:r>
      <w:bookmarkEnd w:id="0"/>
      <w:r>
        <w:rPr>
          <w:rFonts w:hint="eastAsia" w:ascii="Times New Roman" w:hAnsi="Times New Roman" w:eastAsia="仿宋_GB2312" w:cs="Times New Roman"/>
          <w:color w:val="auto"/>
          <w:sz w:val="32"/>
          <w:szCs w:val="32"/>
          <w:lang w:val="en-US" w:eastAsia="zh-CN"/>
        </w:rPr>
        <w:t>是由于臭氧消毒杀菌工艺不达标，导致消毒副产物溴酸盐含量超标。</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黑体" w:hAnsi="黑体" w:eastAsia="黑体" w:cs="黑体"/>
          <w:kern w:val="2"/>
          <w:sz w:val="32"/>
          <w:szCs w:val="32"/>
          <w:lang w:val="en-US" w:eastAsia="zh-CN" w:bidi="ar-SA"/>
        </w:rPr>
      </w:pPr>
      <w:r>
        <w:rPr>
          <w:rFonts w:hint="eastAsia" w:ascii="Times New Roman" w:hAnsi="Times New Roman" w:eastAsia="黑体" w:cs="Times New Roman"/>
          <w:color w:val="auto"/>
          <w:kern w:val="2"/>
          <w:sz w:val="32"/>
          <w:szCs w:val="32"/>
          <w:highlight w:val="none"/>
          <w:lang w:val="en-US" w:eastAsia="zh-CN" w:bidi="ar-SA"/>
        </w:rPr>
        <w:t>十七</w:t>
      </w:r>
      <w:r>
        <w:rPr>
          <w:rFonts w:hint="default" w:ascii="Times New Roman" w:hAnsi="Times New Roman" w:eastAsia="黑体" w:cs="Times New Roman"/>
          <w:color w:val="auto"/>
          <w:kern w:val="2"/>
          <w:sz w:val="32"/>
          <w:szCs w:val="32"/>
          <w:highlight w:val="none"/>
          <w:lang w:val="en-US" w:eastAsia="zh-CN" w:bidi="ar-SA"/>
        </w:rPr>
        <w:t>、</w:t>
      </w:r>
      <w:r>
        <w:rPr>
          <w:rFonts w:hint="eastAsia" w:ascii="Times New Roman" w:hAnsi="Times New Roman" w:eastAsia="黑体" w:cs="Times New Roman"/>
          <w:sz w:val="32"/>
          <w:szCs w:val="32"/>
          <w:lang w:val="en-US" w:eastAsia="zh-CN"/>
        </w:rPr>
        <w:t>过氧化值（以脂肪计）</w:t>
      </w:r>
    </w:p>
    <w:p>
      <w:pPr>
        <w:widowControl w:val="0"/>
        <w:adjustRightInd w:val="0"/>
        <w:spacing w:after="0" w:line="594"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sz w:val="32"/>
          <w:szCs w:val="32"/>
          <w:highlight w:val="none"/>
        </w:rPr>
        <w:t>过氧化值主要反映油脂被氧化的程度。食用过氧化值超标的食品一般不会对人体健康造成损害，但长期食用过氧化值严重超标的食品可能导致肠胃不适、腹泻等。</w:t>
      </w:r>
      <w:r>
        <w:rPr>
          <w:rFonts w:hint="eastAsia" w:ascii="Times New Roman" w:hAnsi="Times New Roman" w:eastAsia="仿宋_GB2312" w:cs="Times New Roman"/>
          <w:sz w:val="32"/>
          <w:szCs w:val="32"/>
          <w:lang w:val="en-US" w:eastAsia="zh-CN"/>
        </w:rPr>
        <w:t>《食品安全国家标准 糕点、面包》（GB 7099—2015）</w:t>
      </w:r>
      <w:r>
        <w:rPr>
          <w:rFonts w:hint="eastAsia" w:ascii="Times New Roman" w:hAnsi="Times New Roman" w:eastAsia="仿宋_GB2312" w:cs="Times New Roman"/>
          <w:sz w:val="32"/>
          <w:szCs w:val="32"/>
        </w:rPr>
        <w:t>中规定</w:t>
      </w:r>
      <w:r>
        <w:rPr>
          <w:rFonts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糕点</w:t>
      </w:r>
      <w:r>
        <w:rPr>
          <w:rFonts w:ascii="Times New Roman" w:hAnsi="Times New Roman" w:eastAsia="仿宋_GB2312" w:cs="Times New Roman"/>
          <w:sz w:val="32"/>
          <w:szCs w:val="32"/>
          <w:highlight w:val="none"/>
          <w:lang w:val="en-US" w:eastAsia="zh-CN"/>
        </w:rPr>
        <w:t>中过氧化值（以脂肪计）的最大限量值为0.25g/100g</w:t>
      </w:r>
      <w:r>
        <w:rPr>
          <w:rFonts w:hint="eastAsia" w:ascii="Times New Roman" w:hAnsi="Times New Roman" w:eastAsia="仿宋_GB2312" w:cs="Times New Roman"/>
          <w:sz w:val="32"/>
          <w:szCs w:val="32"/>
          <w:highlight w:val="none"/>
          <w:lang w:val="en-US" w:eastAsia="zh-CN"/>
        </w:rPr>
        <w:t>。糕点</w:t>
      </w:r>
      <w:r>
        <w:rPr>
          <w:rFonts w:ascii="Times New Roman" w:hAnsi="Times New Roman" w:eastAsia="仿宋_GB2312" w:cs="Times New Roman"/>
          <w:sz w:val="32"/>
          <w:szCs w:val="32"/>
          <w:highlight w:val="none"/>
          <w:lang w:val="en-US" w:eastAsia="zh-CN"/>
        </w:rPr>
        <w:t>中过氧化值（以脂肪计）检</w:t>
      </w:r>
      <w:r>
        <w:rPr>
          <w:rFonts w:hint="eastAsia" w:ascii="Times New Roman" w:hAnsi="Times New Roman" w:eastAsia="仿宋_GB2312" w:cs="Times New Roman"/>
          <w:sz w:val="32"/>
          <w:szCs w:val="32"/>
          <w:highlight w:val="none"/>
          <w:lang w:val="en-US" w:eastAsia="zh-CN"/>
        </w:rPr>
        <w:t>验</w:t>
      </w:r>
      <w:r>
        <w:rPr>
          <w:rFonts w:ascii="Times New Roman" w:hAnsi="Times New Roman" w:eastAsia="仿宋_GB2312" w:cs="Times New Roman"/>
          <w:sz w:val="32"/>
          <w:szCs w:val="32"/>
          <w:highlight w:val="none"/>
          <w:lang w:val="en-US" w:eastAsia="zh-CN"/>
        </w:rPr>
        <w:t>值超标的原因，可能是原料中的脂肪已经被氧化</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lang w:val="en-US" w:eastAsia="zh-CN"/>
        </w:rPr>
        <w:t>也可能与产品在储运过程中环境条件控制不当等有关。</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640" w:firstLineChars="200"/>
        <w:jc w:val="both"/>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color w:val="auto"/>
          <w:sz w:val="32"/>
          <w:szCs w:val="32"/>
          <w:highlight w:val="none"/>
          <w:lang w:val="en-US" w:eastAsia="zh-CN"/>
        </w:rPr>
        <w:t>十八</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spacing w:val="0"/>
          <w:sz w:val="32"/>
          <w:szCs w:val="32"/>
          <w:lang w:val="en-US" w:eastAsia="zh-CN"/>
        </w:rPr>
        <w:t>全氮（以氮计）</w:t>
      </w:r>
    </w:p>
    <w:p>
      <w:pPr>
        <w:autoSpaceDE w:val="0"/>
        <w:spacing w:line="594" w:lineRule="exact"/>
        <w:ind w:firstLine="640" w:firstLineChars="200"/>
        <w:rPr>
          <w:rFonts w:hint="default" w:ascii="Times New Roman" w:hAnsi="Times New Roman" w:eastAsia="黑体" w:cs="Times New Roman"/>
          <w:color w:val="auto"/>
          <w:spacing w:val="-12"/>
          <w:sz w:val="32"/>
          <w:szCs w:val="32"/>
          <w:highlight w:val="none"/>
          <w:lang w:eastAsia="zh-CN"/>
        </w:rPr>
      </w:pPr>
      <w:r>
        <w:rPr>
          <w:rFonts w:hint="default" w:ascii="Times New Roman" w:hAnsi="Times New Roman" w:eastAsia="仿宋_GB2312" w:cs="Times New Roman"/>
          <w:sz w:val="32"/>
          <w:szCs w:val="32"/>
          <w:lang w:val="en-US" w:eastAsia="zh-CN"/>
        </w:rPr>
        <w:t>全氮是酱油的品质指标之一，反映了酱油中蛋白质、氨基酸、肽等含量的高低。全氮不合格主要影响产品的风味。《</w:t>
      </w:r>
      <w:r>
        <w:rPr>
          <w:rFonts w:hint="eastAsia" w:ascii="Times New Roman" w:hAnsi="Times New Roman" w:eastAsia="仿宋_GB2312" w:cs="Times New Roman"/>
          <w:sz w:val="32"/>
          <w:szCs w:val="32"/>
          <w:lang w:val="en-US" w:eastAsia="zh-CN"/>
        </w:rPr>
        <w:t>酿造酱油</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GB/T 18186—</w:t>
      </w: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lang w:val="en-US" w:eastAsia="zh-CN"/>
        </w:rPr>
        <w:t>）中规定</w:t>
      </w:r>
      <w:r>
        <w:rPr>
          <w:rFonts w:hint="eastAsia" w:ascii="Times New Roman" w:hAnsi="Times New Roman" w:eastAsia="仿宋_GB2312" w:cs="Times New Roman"/>
          <w:sz w:val="32"/>
          <w:szCs w:val="32"/>
          <w:lang w:val="en-US" w:eastAsia="zh-CN"/>
        </w:rPr>
        <w:t>，三级酱油</w:t>
      </w:r>
      <w:r>
        <w:rPr>
          <w:rFonts w:hint="default" w:ascii="Times New Roman" w:hAnsi="Times New Roman" w:eastAsia="仿宋_GB2312" w:cs="Times New Roman"/>
          <w:sz w:val="32"/>
          <w:szCs w:val="32"/>
          <w:lang w:val="en-US" w:eastAsia="zh-CN"/>
        </w:rPr>
        <w:t>全氮（以氮计）</w:t>
      </w:r>
      <w:r>
        <w:rPr>
          <w:rFonts w:hint="eastAsia" w:ascii="Times New Roman" w:hAnsi="Times New Roman" w:eastAsia="仿宋_GB2312" w:cs="Times New Roman"/>
          <w:sz w:val="32"/>
          <w:szCs w:val="32"/>
          <w:lang w:val="en-US" w:eastAsia="zh-CN"/>
        </w:rPr>
        <w:t>≥0.70g/100mL。</w:t>
      </w:r>
      <w:r>
        <w:rPr>
          <w:rFonts w:hint="default" w:ascii="Times New Roman" w:hAnsi="Times New Roman" w:eastAsia="仿宋_GB2312" w:cs="Times New Roman"/>
          <w:sz w:val="32"/>
          <w:szCs w:val="32"/>
          <w:lang w:val="en-US" w:eastAsia="zh-CN"/>
        </w:rPr>
        <w:t>酱油中</w:t>
      </w:r>
      <w:bookmarkStart w:id="1" w:name="OLE_LINK3"/>
      <w:r>
        <w:rPr>
          <w:rFonts w:hint="default" w:ascii="Times New Roman" w:hAnsi="Times New Roman" w:eastAsia="仿宋_GB2312" w:cs="Times New Roman"/>
          <w:sz w:val="32"/>
          <w:szCs w:val="32"/>
          <w:lang w:val="en-US" w:eastAsia="zh-CN"/>
        </w:rPr>
        <w:t>全氮（以氮计）</w:t>
      </w:r>
      <w:bookmarkEnd w:id="1"/>
      <w:r>
        <w:rPr>
          <w:rFonts w:hint="default" w:ascii="Times New Roman" w:hAnsi="Times New Roman" w:eastAsia="仿宋_GB2312" w:cs="Times New Roman"/>
          <w:sz w:val="32"/>
          <w:szCs w:val="32"/>
          <w:lang w:val="en-US" w:eastAsia="zh-CN"/>
        </w:rPr>
        <w:t>含量不达标的原因，可能是原料采购环节质量把关不严；也可能是企业生产工艺控制不严，如酿造周期未达要求；还可能是企业在生产过程中为降低成本而涉嫌掺假。</w:t>
      </w:r>
    </w:p>
    <w:p>
      <w:pPr>
        <w:keepNext w:val="0"/>
        <w:keepLines w:val="0"/>
        <w:pageBreakBefore w:val="0"/>
        <w:widowControl w:val="0"/>
        <w:kinsoku/>
        <w:wordWrap/>
        <w:overflowPunct/>
        <w:topLinePunct w:val="0"/>
        <w:autoSpaceDE/>
        <w:autoSpaceDN/>
        <w:bidi w:val="0"/>
        <w:adjustRightInd w:val="0"/>
        <w:snapToGrid w:val="0"/>
        <w:spacing w:line="594" w:lineRule="exact"/>
        <w:ind w:right="0" w:firstLine="592" w:firstLineChars="200"/>
        <w:jc w:val="both"/>
        <w:textAlignment w:val="auto"/>
        <w:rPr>
          <w:rFonts w:hint="default" w:ascii="Times New Roman" w:hAnsi="Times New Roman" w:eastAsia="黑体" w:cs="Times New Roman"/>
          <w:spacing w:val="0"/>
          <w:sz w:val="32"/>
          <w:szCs w:val="32"/>
          <w:highlight w:val="none"/>
          <w:lang w:val="en-US" w:eastAsia="zh-CN"/>
        </w:rPr>
      </w:pPr>
      <w:r>
        <w:rPr>
          <w:rFonts w:hint="eastAsia" w:ascii="Times New Roman" w:hAnsi="Times New Roman" w:eastAsia="黑体" w:cs="Times New Roman"/>
          <w:color w:val="auto"/>
          <w:spacing w:val="-12"/>
          <w:sz w:val="32"/>
          <w:szCs w:val="32"/>
          <w:highlight w:val="none"/>
          <w:lang w:val="en-US" w:eastAsia="zh-CN"/>
        </w:rPr>
        <w:t>十九</w:t>
      </w:r>
      <w:r>
        <w:rPr>
          <w:rFonts w:hint="default" w:ascii="Times New Roman" w:hAnsi="Times New Roman" w:eastAsia="黑体" w:cs="Times New Roman"/>
          <w:color w:val="auto"/>
          <w:spacing w:val="-12"/>
          <w:sz w:val="32"/>
          <w:szCs w:val="32"/>
          <w:highlight w:val="none"/>
        </w:rPr>
        <w:t>、</w:t>
      </w:r>
      <w:r>
        <w:rPr>
          <w:rFonts w:hint="default" w:ascii="Times New Roman" w:hAnsi="Times New Roman" w:eastAsia="黑体" w:cs="Times New Roman"/>
          <w:spacing w:val="0"/>
          <w:sz w:val="32"/>
          <w:szCs w:val="32"/>
          <w:highlight w:val="none"/>
          <w:lang w:val="en-US" w:eastAsia="zh-CN"/>
        </w:rPr>
        <w:t>氨基酸态氮</w:t>
      </w:r>
    </w:p>
    <w:p>
      <w:pPr>
        <w:pStyle w:val="9"/>
        <w:spacing w:after="0" w:line="594" w:lineRule="exact"/>
        <w:ind w:firstLine="640" w:firstLineChars="200"/>
        <w:rPr>
          <w:rFonts w:hint="eastAsia" w:ascii="黑体" w:hAnsi="黑体" w:eastAsia="黑体" w:cs="Times New Roman"/>
          <w:sz w:val="32"/>
          <w:szCs w:val="32"/>
          <w:lang w:eastAsia="zh-CN"/>
        </w:rPr>
      </w:pPr>
      <w:r>
        <w:rPr>
          <w:rFonts w:hint="default" w:ascii="Times New Roman" w:hAnsi="Times New Roman" w:eastAsia="仿宋_GB2312" w:cs="Times New Roman"/>
          <w:kern w:val="2"/>
          <w:sz w:val="32"/>
          <w:szCs w:val="32"/>
          <w:highlight w:val="none"/>
          <w:lang w:val="en-US" w:eastAsia="zh-CN" w:bidi="ar-SA"/>
        </w:rPr>
        <w:t>氨基酸态氮是酱油的特征性品质指标之一，氨基酸态氮含量越高，酱油鲜味越浓，反映酱油的质量越好。氨基酸态氮不合格主要影响产品的品质。</w:t>
      </w:r>
      <w:bookmarkStart w:id="2" w:name="OLE_LINK1"/>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食品安全国家标准 酱油</w:t>
      </w:r>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GB 2717—</w:t>
      </w:r>
      <w:r>
        <w:rPr>
          <w:rFonts w:hint="default" w:ascii="Times New Roman" w:hAnsi="Times New Roman" w:eastAsia="仿宋_GB2312" w:cs="Times New Roman"/>
          <w:kern w:val="2"/>
          <w:sz w:val="32"/>
          <w:szCs w:val="32"/>
          <w:highlight w:val="none"/>
          <w:lang w:val="en-US" w:eastAsia="zh-CN" w:bidi="ar-SA"/>
        </w:rPr>
        <w:t>20</w:t>
      </w:r>
      <w:r>
        <w:rPr>
          <w:rFonts w:hint="eastAsia" w:ascii="Times New Roman" w:hAnsi="Times New Roman" w:eastAsia="仿宋_GB2312" w:cs="Times New Roman"/>
          <w:kern w:val="2"/>
          <w:sz w:val="32"/>
          <w:szCs w:val="32"/>
          <w:highlight w:val="none"/>
          <w:lang w:val="en-US" w:eastAsia="zh-CN" w:bidi="ar-SA"/>
        </w:rPr>
        <w:t>18</w:t>
      </w:r>
      <w:r>
        <w:rPr>
          <w:rFonts w:hint="default" w:ascii="Times New Roman" w:hAnsi="Times New Roman" w:eastAsia="仿宋_GB2312" w:cs="Times New Roman"/>
          <w:kern w:val="2"/>
          <w:sz w:val="32"/>
          <w:szCs w:val="32"/>
          <w:highlight w:val="none"/>
          <w:lang w:val="en-US" w:eastAsia="zh-CN" w:bidi="ar-SA"/>
        </w:rPr>
        <w:t>）中规定</w:t>
      </w:r>
      <w:bookmarkEnd w:id="2"/>
      <w:r>
        <w:rPr>
          <w:rFonts w:hint="default" w:ascii="Times New Roman" w:hAns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酱油中氨基酸态氮</w:t>
      </w:r>
      <w:bookmarkStart w:id="3" w:name="OLE_LINK2"/>
      <w:r>
        <w:rPr>
          <w:rFonts w:hint="eastAsia" w:ascii="仿宋_GB2312" w:hAnsi="仿宋_GB2312" w:eastAsia="仿宋_GB2312" w:cs="仿宋_GB2312"/>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0.4g/100mL</w:t>
      </w:r>
      <w:bookmarkEnd w:id="3"/>
      <w:r>
        <w:rPr>
          <w:rFonts w:hint="eastAsia" w:ascii="Times New Roman" w:hAnsi="Times New Roman" w:eastAsia="仿宋_GB2312" w:cs="Times New Roman"/>
          <w:kern w:val="2"/>
          <w:sz w:val="32"/>
          <w:szCs w:val="32"/>
          <w:highlight w:val="none"/>
          <w:lang w:val="en-US" w:eastAsia="zh-CN" w:bidi="ar-SA"/>
        </w:rPr>
        <w:t>。“老酱油”中氨基酸态氮含量既不符合食品安全国家标准规定，也不符合标签标示要求“氨基酸态氮</w:t>
      </w:r>
      <w:r>
        <w:rPr>
          <w:rFonts w:hint="eastAsia" w:ascii="仿宋_GB2312" w:hAnsi="仿宋_GB2312" w:eastAsia="仿宋_GB2312" w:cs="仿宋_GB2312"/>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0.4g/100mL”。</w:t>
      </w:r>
      <w:r>
        <w:rPr>
          <w:rFonts w:hint="default" w:ascii="Times New Roman" w:hAnsi="Times New Roman" w:eastAsia="仿宋_GB2312" w:cs="Times New Roman"/>
          <w:kern w:val="2"/>
          <w:sz w:val="32"/>
          <w:szCs w:val="32"/>
          <w:highlight w:val="none"/>
          <w:lang w:val="en-US" w:eastAsia="zh-CN" w:bidi="ar-SA"/>
        </w:rPr>
        <w:t>酱油中氨基酸态氮含量不达标的原因，可能是原料采购环节质量把关不严；也可能是企业生产工艺控制不严，如酿造周期未达要求；还可能是企业在生产过程中为降低成本而以次充好。</w:t>
      </w:r>
    </w:p>
    <w:p>
      <w:pPr>
        <w:pStyle w:val="9"/>
        <w:keepNext w:val="0"/>
        <w:keepLines w:val="0"/>
        <w:pageBreakBefore w:val="0"/>
        <w:widowControl w:val="0"/>
        <w:kinsoku/>
        <w:wordWrap/>
        <w:overflowPunct/>
        <w:topLinePunct w:val="0"/>
        <w:bidi w:val="0"/>
        <w:snapToGrid/>
        <w:spacing w:after="0" w:line="594" w:lineRule="exact"/>
        <w:ind w:firstLine="592"/>
        <w:textAlignment w:val="auto"/>
        <w:rPr>
          <w:rFonts w:hint="eastAsia" w:ascii="Times New Roman" w:hAnsi="Times New Roman" w:eastAsia="黑体" w:cs="Times New Roman"/>
          <w:spacing w:val="0"/>
          <w:kern w:val="2"/>
          <w:sz w:val="32"/>
          <w:szCs w:val="32"/>
          <w:lang w:val="en-US" w:eastAsia="zh-CN" w:bidi="ar-SA"/>
        </w:rPr>
      </w:pPr>
      <w:r>
        <w:rPr>
          <w:rFonts w:hint="eastAsia" w:ascii="黑体" w:hAnsi="黑体" w:eastAsia="黑体" w:cs="黑体"/>
          <w:color w:val="auto"/>
          <w:sz w:val="32"/>
          <w:szCs w:val="32"/>
          <w:highlight w:val="none"/>
          <w:lang w:val="en-US" w:eastAsia="zh-CN"/>
        </w:rPr>
        <w:t>二十、</w:t>
      </w:r>
      <w:r>
        <w:rPr>
          <w:rFonts w:hint="eastAsia" w:ascii="Times New Roman" w:hAnsi="Times New Roman" w:eastAsia="黑体" w:cs="Times New Roman"/>
          <w:spacing w:val="0"/>
          <w:kern w:val="2"/>
          <w:sz w:val="32"/>
          <w:szCs w:val="32"/>
          <w:lang w:val="en-US" w:eastAsia="zh-CN" w:bidi="ar-SA"/>
        </w:rPr>
        <w:t>硒</w:t>
      </w:r>
    </w:p>
    <w:p>
      <w:pPr>
        <w:adjustRightInd/>
        <w:spacing w:after="0" w:line="594" w:lineRule="exact"/>
        <w:ind w:firstLine="640" w:firstLineChars="200"/>
        <w:rPr>
          <w:rFonts w:hint="default" w:ascii="Times New Roman" w:hAnsi="Times New Roman" w:eastAsia="黑体" w:cs="Times New Roman"/>
          <w:color w:val="auto"/>
          <w:spacing w:val="0"/>
          <w:sz w:val="32"/>
          <w:szCs w:val="32"/>
          <w:highlight w:val="none"/>
          <w:lang w:val="en-US" w:eastAsia="zh-CN"/>
        </w:rPr>
      </w:pPr>
      <w:r>
        <w:rPr>
          <w:rFonts w:hint="default" w:ascii="Times New Roman" w:hAnsi="Times New Roman" w:eastAsia="仿宋_GB2312" w:cs="Times New Roman"/>
          <w:sz w:val="32"/>
          <w:szCs w:val="32"/>
          <w:lang w:val="en-US" w:eastAsia="zh-CN"/>
        </w:rPr>
        <w:t>硒是人体生命过程中所必需的微量元素，具有抗氧化、增强免疫力、促进生长等作用。硒缺乏</w:t>
      </w:r>
      <w:r>
        <w:rPr>
          <w:rFonts w:hint="eastAsia" w:ascii="Times New Roman" w:hAnsi="Times New Roman" w:eastAsia="仿宋_GB2312" w:cs="Times New Roman"/>
          <w:sz w:val="32"/>
          <w:szCs w:val="32"/>
          <w:lang w:val="en-US" w:eastAsia="zh-CN"/>
        </w:rPr>
        <w:t>可能会</w:t>
      </w:r>
      <w:r>
        <w:rPr>
          <w:rFonts w:hint="default" w:ascii="Times New Roman" w:hAnsi="Times New Roman" w:eastAsia="仿宋_GB2312" w:cs="Times New Roman"/>
          <w:sz w:val="32"/>
          <w:szCs w:val="32"/>
          <w:lang w:val="en-US" w:eastAsia="zh-CN"/>
        </w:rPr>
        <w:t>使机体免疫能力下降，导致抵抗力差、多病、厌食等，还</w:t>
      </w:r>
      <w:r>
        <w:rPr>
          <w:rFonts w:hint="eastAsia" w:ascii="Times New Roman" w:hAnsi="Times New Roman" w:eastAsia="仿宋_GB2312" w:cs="Times New Roman"/>
          <w:sz w:val="32"/>
          <w:szCs w:val="32"/>
          <w:lang w:val="en-US" w:eastAsia="zh-CN"/>
        </w:rPr>
        <w:t>可能</w:t>
      </w:r>
      <w:r>
        <w:rPr>
          <w:rFonts w:hint="default" w:ascii="Times New Roman" w:hAnsi="Times New Roman" w:eastAsia="仿宋_GB2312" w:cs="Times New Roman"/>
          <w:sz w:val="32"/>
          <w:szCs w:val="32"/>
          <w:lang w:val="en-US" w:eastAsia="zh-CN"/>
        </w:rPr>
        <w:t>诱发大骨节病。《食品安全国家标准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2015）中规定，运动营养食品中</w:t>
      </w:r>
      <w:r>
        <w:rPr>
          <w:rFonts w:hint="eastAsia" w:ascii="Times New Roman" w:hAnsi="Times New Roman" w:eastAsia="仿宋_GB2312" w:cs="Times New Roman"/>
          <w:sz w:val="32"/>
          <w:szCs w:val="32"/>
          <w:lang w:val="en-US" w:eastAsia="zh-CN"/>
        </w:rPr>
        <w:t>硒</w:t>
      </w:r>
      <w:r>
        <w:rPr>
          <w:rFonts w:hint="default" w:ascii="Times New Roman" w:hAnsi="Times New Roman" w:eastAsia="仿宋_GB2312" w:cs="Times New Roman"/>
          <w:sz w:val="32"/>
          <w:szCs w:val="32"/>
          <w:lang w:val="en-US" w:eastAsia="zh-CN"/>
        </w:rPr>
        <w:t>含量（以每日计）应在</w:t>
      </w:r>
      <w:r>
        <w:rPr>
          <w:rFonts w:hint="eastAsia" w:ascii="Times New Roman" w:hAnsi="Times New Roman" w:eastAsia="仿宋_GB2312" w:cs="Times New Roman"/>
          <w:sz w:val="32"/>
          <w:szCs w:val="32"/>
          <w:lang w:val="en-US" w:eastAsia="zh-CN"/>
        </w:rPr>
        <w:t>7.5—52</w:t>
      </w:r>
      <w:r>
        <w:rPr>
          <w:rFonts w:hint="default" w:ascii="Times New Roman" w:hAnsi="Times New Roman" w:eastAsia="仿宋_GB2312" w:cs="Times New Roman"/>
          <w:sz w:val="32"/>
          <w:szCs w:val="32"/>
          <w:lang w:val="en-US" w:eastAsia="zh-CN"/>
        </w:rPr>
        <w:t>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2013）</w:t>
      </w:r>
      <w:r>
        <w:rPr>
          <w:rFonts w:hint="eastAsia" w:ascii="Times New Roman" w:hAnsi="Times New Roman" w:eastAsia="仿宋_GB2312" w:cs="Times New Roman"/>
          <w:sz w:val="32"/>
          <w:szCs w:val="32"/>
          <w:lang w:val="en-US" w:eastAsia="zh-CN"/>
        </w:rPr>
        <w:t>中</w:t>
      </w:r>
      <w:r>
        <w:rPr>
          <w:rFonts w:hint="default" w:ascii="Times New Roman" w:hAnsi="Times New Roman" w:eastAsia="仿宋_GB2312" w:cs="Times New Roman"/>
          <w:sz w:val="32"/>
          <w:szCs w:val="32"/>
          <w:lang w:val="en-US" w:eastAsia="zh-CN"/>
        </w:rPr>
        <w:t>规定，在产品保质期内，能量和营养成分的实际含量不应低于标示值的80%。</w:t>
      </w:r>
      <w:r>
        <w:rPr>
          <w:rFonts w:hint="eastAsia" w:ascii="Times New Roman" w:hAnsi="Times New Roman" w:eastAsia="仿宋_GB2312" w:cs="Times New Roman"/>
          <w:sz w:val="32"/>
          <w:szCs w:val="32"/>
          <w:lang w:val="en-US" w:eastAsia="zh-CN"/>
        </w:rPr>
        <w:t>运动营养食品</w:t>
      </w:r>
      <w:r>
        <w:rPr>
          <w:rFonts w:hint="default" w:ascii="Times New Roman" w:hAnsi="Times New Roman" w:eastAsia="仿宋_GB2312" w:cs="Times New Roman"/>
          <w:sz w:val="32"/>
          <w:szCs w:val="32"/>
          <w:lang w:val="en-US" w:eastAsia="zh-CN"/>
        </w:rPr>
        <w:t>中硒含量不达标的原因，</w:t>
      </w:r>
      <w:r>
        <w:rPr>
          <w:rFonts w:hint="eastAsia"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lang w:val="en-US" w:eastAsia="zh-CN"/>
        </w:rPr>
        <w:t>原辅料用食品营养强化剂不符合质量要求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也可能是生产加工过程中搅拌不均匀</w:t>
      </w:r>
      <w:r>
        <w:rPr>
          <w:rFonts w:hint="eastAsia"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lang w:val="en-US" w:eastAsia="zh-CN"/>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color w:val="auto"/>
          <w:spacing w:val="0"/>
          <w:sz w:val="32"/>
          <w:szCs w:val="32"/>
          <w:highlight w:val="none"/>
          <w:lang w:val="en-US" w:eastAsia="zh-CN"/>
        </w:rPr>
        <w:t>二</w:t>
      </w:r>
      <w:r>
        <w:rPr>
          <w:rFonts w:hint="default" w:ascii="Times New Roman" w:hAnsi="Times New Roman" w:eastAsia="黑体" w:cs="Times New Roman"/>
          <w:color w:val="auto"/>
          <w:spacing w:val="0"/>
          <w:sz w:val="32"/>
          <w:szCs w:val="32"/>
          <w:highlight w:val="none"/>
          <w:lang w:val="en-US" w:eastAsia="zh-CN"/>
        </w:rPr>
        <w:t>十</w:t>
      </w:r>
      <w:r>
        <w:rPr>
          <w:rFonts w:hint="eastAsia" w:ascii="Times New Roman" w:hAnsi="Times New Roman" w:eastAsia="黑体" w:cs="Times New Roman"/>
          <w:color w:val="auto"/>
          <w:spacing w:val="0"/>
          <w:sz w:val="32"/>
          <w:szCs w:val="32"/>
          <w:highlight w:val="none"/>
          <w:lang w:val="en-US" w:eastAsia="zh-CN"/>
        </w:rPr>
        <w:t>一</w:t>
      </w:r>
      <w:r>
        <w:rPr>
          <w:rFonts w:hint="default" w:ascii="Times New Roman" w:hAnsi="Times New Roman" w:eastAsia="黑体" w:cs="Times New Roman"/>
          <w:color w:val="auto"/>
          <w:spacing w:val="0"/>
          <w:sz w:val="32"/>
          <w:szCs w:val="32"/>
          <w:highlight w:val="none"/>
          <w:lang w:val="en-US" w:eastAsia="zh-CN"/>
        </w:rPr>
        <w:t>、</w:t>
      </w:r>
      <w:r>
        <w:rPr>
          <w:rFonts w:hint="default" w:ascii="Times New Roman" w:hAnsi="Times New Roman" w:eastAsia="黑体" w:cs="Times New Roman"/>
          <w:spacing w:val="0"/>
          <w:sz w:val="32"/>
          <w:szCs w:val="32"/>
          <w:lang w:val="en-US" w:eastAsia="zh-CN"/>
        </w:rPr>
        <w:t>叶酸</w:t>
      </w:r>
    </w:p>
    <w:p>
      <w:pPr>
        <w:pStyle w:val="9"/>
        <w:keepNext w:val="0"/>
        <w:keepLines w:val="0"/>
        <w:pageBreakBefore w:val="0"/>
        <w:widowControl w:val="0"/>
        <w:kinsoku/>
        <w:wordWrap/>
        <w:overflowPunct/>
        <w:topLinePunct w:val="0"/>
        <w:autoSpaceDE/>
        <w:autoSpaceDN/>
        <w:bidi w:val="0"/>
        <w:adjustRightInd/>
        <w:snapToGrid/>
        <w:spacing w:after="0" w:line="594"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叶酸是一种</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"http://baike.sogou.com/lemma/ShowInnerLink.htm?lemmaId=7561013&amp;ss_c=ssc.citiao.link" \t "http://baike.sogou.com/_blank"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水溶性维生素</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，叶酸缺乏可能会导致贫血。《食品安全国家标准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w:t>
      </w:r>
      <w:r>
        <w:rPr>
          <w:rFonts w:hint="eastAsia" w:ascii="Times New Roman" w:hAnsi="Times New Roman" w:eastAsia="仿宋_GB2312" w:cs="Times New Roman"/>
          <w:sz w:val="32"/>
          <w:szCs w:val="32"/>
        </w:rPr>
        <w:t>中规定，</w:t>
      </w:r>
      <w:r>
        <w:rPr>
          <w:rFonts w:hint="eastAsia" w:ascii="Times New Roman" w:hAnsi="Times New Roman" w:eastAsia="仿宋_GB2312" w:cs="Times New Roman"/>
          <w:sz w:val="32"/>
          <w:szCs w:val="32"/>
          <w:lang w:val="en-US" w:eastAsia="zh-CN"/>
        </w:rPr>
        <w:t>运动营养食品中叶酸含量</w:t>
      </w:r>
      <w:r>
        <w:rPr>
          <w:rFonts w:hint="default" w:ascii="Times New Roman" w:hAnsi="Times New Roman" w:eastAsia="仿宋_GB2312" w:cs="Times New Roman"/>
          <w:sz w:val="32"/>
          <w:szCs w:val="32"/>
          <w:lang w:val="en-US" w:eastAsia="zh-CN"/>
        </w:rPr>
        <w:t>（以每日计）</w:t>
      </w:r>
      <w:r>
        <w:rPr>
          <w:rFonts w:hint="default" w:ascii="Times New Roman" w:hAnsi="Times New Roman" w:eastAsia="仿宋_GB2312" w:cs="Times New Roman"/>
          <w:sz w:val="32"/>
          <w:szCs w:val="32"/>
        </w:rPr>
        <w:t>应在60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260μg</w:t>
      </w:r>
      <w:r>
        <w:rPr>
          <w:rFonts w:hint="eastAsia" w:ascii="Times New Roman" w:hAnsi="Times New Roman" w:eastAsia="仿宋_GB2312" w:cs="Times New Roman"/>
          <w:sz w:val="32"/>
          <w:szCs w:val="32"/>
          <w:lang w:val="en-US" w:eastAsia="zh-CN"/>
        </w:rPr>
        <w:t>范围内；</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w:t>
      </w:r>
      <w:r>
        <w:rPr>
          <w:rFonts w:hint="eastAsia" w:ascii="Times New Roman" w:hAnsi="Times New Roman" w:eastAsia="仿宋_GB2312" w:cs="Times New Roman"/>
          <w:sz w:val="32"/>
          <w:szCs w:val="32"/>
          <w:lang w:val="en-US" w:eastAsia="zh-CN"/>
        </w:rPr>
        <w:t>运动营养食品</w:t>
      </w:r>
      <w:r>
        <w:rPr>
          <w:rFonts w:hint="default" w:ascii="Times New Roman" w:hAnsi="Times New Roman" w:eastAsia="仿宋_GB2312" w:cs="Times New Roman"/>
          <w:sz w:val="32"/>
          <w:szCs w:val="32"/>
          <w:lang w:val="en-US" w:eastAsia="zh-CN"/>
        </w:rPr>
        <w:t>中叶酸含量不达标的原因，可能是原辅料用食品营养强化剂不符合质量要求；也可能是生产加工过程中搅拌不均匀；还可能是在加工或储存过程中损失。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592" w:firstLineChars="200"/>
        <w:textAlignment w:val="auto"/>
        <w:rPr>
          <w:rFonts w:hint="eastAsia" w:ascii="黑体" w:hAnsi="黑体" w:eastAsia="黑体" w:cs="黑体"/>
          <w:sz w:val="32"/>
          <w:szCs w:val="32"/>
          <w:lang w:val="en-US" w:eastAsia="zh-CN"/>
        </w:rPr>
      </w:pPr>
      <w:r>
        <w:rPr>
          <w:rFonts w:hint="eastAsia" w:ascii="黑体" w:hAnsi="黑体" w:eastAsia="黑体" w:cs="黑体"/>
          <w:color w:val="auto"/>
          <w:spacing w:val="-12"/>
          <w:sz w:val="32"/>
          <w:szCs w:val="32"/>
          <w:highlight w:val="none"/>
          <w:lang w:val="en-US" w:eastAsia="zh-CN"/>
        </w:rPr>
        <w:t>二十二、</w:t>
      </w:r>
      <w:r>
        <w:rPr>
          <w:rFonts w:hint="eastAsia" w:ascii="黑体" w:hAnsi="黑体" w:eastAsia="黑体" w:cs="黑体"/>
          <w:spacing w:val="-12"/>
          <w:sz w:val="32"/>
          <w:szCs w:val="32"/>
          <w:lang w:val="en-US" w:eastAsia="zh-CN"/>
        </w:rPr>
        <w:t>维生素</w:t>
      </w:r>
      <w:r>
        <w:rPr>
          <w:rFonts w:hint="default" w:ascii="Times New Roman" w:hAnsi="Times New Roman" w:eastAsia="黑体" w:cs="Times New Roman"/>
          <w:spacing w:val="-12"/>
          <w:sz w:val="32"/>
          <w:szCs w:val="32"/>
          <w:lang w:val="en-US" w:eastAsia="zh-CN"/>
        </w:rPr>
        <w:t>C</w:t>
      </w:r>
    </w:p>
    <w:p>
      <w:pPr>
        <w:adjustRightInd/>
        <w:spacing w:after="0" w:line="594"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lang w:val="en-US" w:eastAsia="zh-CN"/>
        </w:rPr>
        <w:t>维生素C是一种水溶性维生素，在人体代谢过程中发挥重要作用。维生素C缺乏会影响人体正常生理功能，长期严重缺乏可能导致坏血病。《食品安全国家标准 孕妇及乳母营养补充食品》（GB 31601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2015）中规定，孕妇及乳母营养补充食品中维生素C含量（以每日计）应在60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230mg范围内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孕妇及乳母营养补充食品中维生素C含量不达标的原因，可能是原辅料用食品营养强化剂不符合质量要求；也可能是生产加工过程中搅拌不均匀；还可能是在加工或储存过程中损失</w:t>
      </w:r>
      <w:r>
        <w:rPr>
          <w:rFonts w:hint="default" w:ascii="Times New Roman" w:hAnsi="Times New Roman" w:eastAsia="仿宋_GB2312" w:cs="Times New Roman"/>
          <w:sz w:val="32"/>
          <w:szCs w:val="32"/>
        </w:rPr>
        <w:t>。</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eastAsia" w:ascii="黑体" w:hAnsi="黑体" w:eastAsia="黑体" w:cs="黑体"/>
          <w:spacing w:val="0"/>
          <w:sz w:val="32"/>
          <w:szCs w:val="32"/>
          <w:lang w:val="en-US" w:eastAsia="zh-CN"/>
        </w:rPr>
      </w:pPr>
      <w:r>
        <w:rPr>
          <w:rFonts w:hint="eastAsia" w:ascii="黑体" w:hAnsi="黑体" w:eastAsia="黑体" w:cs="黑体"/>
          <w:color w:val="auto"/>
          <w:spacing w:val="-12"/>
          <w:sz w:val="32"/>
          <w:szCs w:val="32"/>
          <w:highlight w:val="none"/>
          <w:lang w:val="en-US" w:eastAsia="zh-CN"/>
        </w:rPr>
        <w:t>二十三、</w:t>
      </w:r>
      <w:r>
        <w:rPr>
          <w:rFonts w:hint="eastAsia" w:ascii="黑体" w:hAnsi="黑体" w:eastAsia="黑体" w:cs="黑体"/>
          <w:spacing w:val="0"/>
          <w:sz w:val="32"/>
          <w:szCs w:val="32"/>
          <w:lang w:val="en-US" w:eastAsia="zh-CN"/>
        </w:rPr>
        <w:t>维生素</w:t>
      </w:r>
      <w:r>
        <w:rPr>
          <w:rFonts w:hint="default" w:ascii="Times New Roman" w:hAnsi="Times New Roman" w:eastAsia="黑体" w:cs="Times New Roman"/>
          <w:spacing w:val="0"/>
          <w:sz w:val="32"/>
          <w:szCs w:val="32"/>
          <w:lang w:val="en-US" w:eastAsia="zh-CN"/>
        </w:rPr>
        <w:t>D</w:t>
      </w:r>
    </w:p>
    <w:p>
      <w:pPr>
        <w:pStyle w:val="9"/>
        <w:keepNext w:val="0"/>
        <w:keepLines w:val="0"/>
        <w:pageBreakBefore w:val="0"/>
        <w:widowControl w:val="0"/>
        <w:kinsoku/>
        <w:wordWrap/>
        <w:overflowPunct/>
        <w:topLinePunct w:val="0"/>
        <w:bidi w:val="0"/>
        <w:snapToGrid/>
        <w:spacing w:after="0" w:line="594" w:lineRule="exact"/>
        <w:ind w:firstLine="59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维生素D是一种脂溶性维生素，</w:t>
      </w:r>
      <w:r>
        <w:rPr>
          <w:rFonts w:hint="default" w:ascii="Times New Roman" w:hAnsi="Times New Roman" w:eastAsia="仿宋_GB2312" w:cs="Times New Roman"/>
          <w:sz w:val="32"/>
          <w:szCs w:val="32"/>
          <w:lang w:val="en-US" w:eastAsia="zh-CN"/>
        </w:rPr>
        <w:t>可以维持血浆钙和磷的水平稳定，满足骨骼矿物质化、肌肉收缩、神经传导及细胞的基本功能。</w:t>
      </w:r>
      <w:r>
        <w:rPr>
          <w:rFonts w:hint="default" w:ascii="Times New Roman" w:hAnsi="Times New Roman" w:eastAsia="仿宋_GB2312" w:cs="Times New Roman"/>
          <w:sz w:val="32"/>
        </w:rPr>
        <w:t>维生素D缺乏</w:t>
      </w:r>
      <w:r>
        <w:rPr>
          <w:rFonts w:hint="default" w:ascii="Times New Roman" w:hAnsi="Times New Roman" w:eastAsia="仿宋_GB2312" w:cs="Times New Roman"/>
          <w:sz w:val="32"/>
          <w:lang w:val="en-US" w:eastAsia="zh-CN"/>
        </w:rPr>
        <w:t>可能</w:t>
      </w:r>
      <w:r>
        <w:rPr>
          <w:rFonts w:hint="default" w:ascii="Times New Roman" w:hAnsi="Times New Roman" w:eastAsia="仿宋_GB2312" w:cs="Times New Roman"/>
          <w:sz w:val="32"/>
        </w:rPr>
        <w:t>导致钙的吸收利用降低，出现佝偻病、骨软化症及骨质疏松等问题。</w:t>
      </w:r>
      <w:r>
        <w:rPr>
          <w:rFonts w:hint="default" w:ascii="Times New Roman" w:hAnsi="Times New Roman" w:eastAsia="仿宋_GB2312" w:cs="Times New Roman"/>
          <w:sz w:val="32"/>
          <w:szCs w:val="32"/>
          <w:lang w:val="en-US" w:eastAsia="zh-CN"/>
        </w:rPr>
        <w:t>《食品安全国家标准 孕妇及乳母营养补充食品》（GB 31601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2015）中规定，孕妇及乳母营养补充食品中维生素D含量（以每日计）应在3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10μg范围内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2015）中规定，运动营养食品中维生素D含量（以每日计）应在1.5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10μg范围内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孕妇及乳母营养补充食品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运动营养食品中</w:t>
      </w:r>
      <w:r>
        <w:rPr>
          <w:rFonts w:hint="default" w:ascii="Times New Roman" w:hAnsi="Times New Roman" w:eastAsia="仿宋_GB2312" w:cs="Times New Roman"/>
          <w:sz w:val="32"/>
        </w:rPr>
        <w:t>维生素D</w:t>
      </w:r>
      <w:r>
        <w:rPr>
          <w:rFonts w:hint="default" w:ascii="Times New Roman" w:hAnsi="Times New Roman" w:eastAsia="仿宋_GB2312" w:cs="Times New Roman"/>
          <w:sz w:val="32"/>
          <w:lang w:val="en-US" w:eastAsia="zh-CN"/>
        </w:rPr>
        <w:t>含量</w:t>
      </w:r>
      <w:r>
        <w:rPr>
          <w:rFonts w:hint="default" w:ascii="Times New Roman" w:hAnsi="Times New Roman" w:eastAsia="仿宋_GB2312" w:cs="Times New Roman"/>
          <w:sz w:val="32"/>
        </w:rPr>
        <w:t>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pStyle w:val="9"/>
        <w:keepNext w:val="0"/>
        <w:keepLines w:val="0"/>
        <w:pageBreakBefore w:val="0"/>
        <w:widowControl w:val="0"/>
        <w:kinsoku/>
        <w:wordWrap/>
        <w:overflowPunct/>
        <w:topLinePunct w:val="0"/>
        <w:bidi w:val="0"/>
        <w:adjustRightInd/>
        <w:snapToGrid/>
        <w:spacing w:after="0" w:line="594" w:lineRule="exact"/>
        <w:ind w:firstLine="592"/>
        <w:textAlignment w:val="auto"/>
        <w:rPr>
          <w:rFonts w:hint="default" w:ascii="Times New Roman" w:hAnsi="Times New Roman" w:eastAsia="黑体" w:cs="Times New Roman"/>
          <w:spacing w:val="0"/>
          <w:sz w:val="32"/>
          <w:szCs w:val="32"/>
          <w:lang w:val="en-US" w:eastAsia="zh-CN"/>
        </w:rPr>
      </w:pPr>
      <w:r>
        <w:rPr>
          <w:rFonts w:hint="eastAsia" w:ascii="Times New Roman" w:hAnsi="Times New Roman" w:eastAsia="黑体" w:cs="Times New Roman"/>
          <w:color w:val="auto"/>
          <w:spacing w:val="0"/>
          <w:sz w:val="32"/>
          <w:szCs w:val="32"/>
          <w:highlight w:val="none"/>
          <w:lang w:val="en-US" w:eastAsia="zh-CN"/>
        </w:rPr>
        <w:t>二十四、</w:t>
      </w:r>
      <w:r>
        <w:rPr>
          <w:rFonts w:hint="eastAsia" w:ascii="Times New Roman" w:hAnsi="Times New Roman" w:eastAsia="黑体" w:cs="Times New Roman"/>
          <w:spacing w:val="0"/>
          <w:sz w:val="32"/>
          <w:szCs w:val="32"/>
          <w:lang w:val="en-US" w:eastAsia="zh-CN"/>
        </w:rPr>
        <w:t>泛酸</w:t>
      </w:r>
    </w:p>
    <w:p>
      <w:pPr>
        <w:spacing w:line="594" w:lineRule="exact"/>
        <w:ind w:firstLine="640" w:firstLineChars="200"/>
        <w:rPr>
          <w:rFonts w:hint="default"/>
          <w:color w:val="auto"/>
          <w:sz w:val="32"/>
          <w:szCs w:val="32"/>
          <w:highlight w:val="none"/>
          <w:lang w:val="en-US" w:eastAsia="zh-CN"/>
        </w:rPr>
      </w:pPr>
      <w:r>
        <w:rPr>
          <w:rFonts w:hint="default" w:ascii="Times New Roman" w:hAnsi="Times New Roman" w:eastAsia="仿宋_GB2312" w:cs="Times New Roman"/>
          <w:sz w:val="32"/>
          <w:szCs w:val="32"/>
          <w:lang w:val="en-US" w:eastAsia="zh-CN"/>
        </w:rPr>
        <w:t>泛酸又称维生素B</w:t>
      </w:r>
      <w:r>
        <w:rPr>
          <w:rFonts w:hint="default" w:ascii="Times New Roman" w:hAnsi="Times New Roman" w:eastAsia="仿宋_GB2312" w:cs="Times New Roman"/>
          <w:sz w:val="32"/>
          <w:szCs w:val="32"/>
          <w:vertAlign w:val="subscript"/>
          <w:lang w:val="en-US" w:eastAsia="zh-CN"/>
        </w:rPr>
        <w:t>5</w:t>
      </w:r>
      <w:r>
        <w:rPr>
          <w:rFonts w:hint="default" w:ascii="Times New Roman" w:hAnsi="Times New Roman" w:eastAsia="仿宋_GB2312" w:cs="Times New Roman"/>
          <w:sz w:val="32"/>
          <w:szCs w:val="32"/>
          <w:lang w:val="en-US" w:eastAsia="zh-CN"/>
        </w:rPr>
        <w:t>，是一种水溶性维生素，可以构成辅酶A和酰基载体蛋白，在人体代谢中发挥作用。泛酸缺乏可能会引起食欲减退、消化不良、疲倦无力等。《食品安全国家标准 孕妇及乳母营养补充食品》（GB 31601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2015）中规定，孕妇及乳母营养补充食品中泛酸含量（以每日计）应在2.8</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12.0mg范围内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2013）中规定，在产品保质期内，能量和营养成分的实际含量不应低于标示值的80%。孕妇及乳母营养补充食品中</w:t>
      </w:r>
      <w:r>
        <w:rPr>
          <w:rFonts w:hint="default" w:ascii="Times New Roman" w:hAnsi="Times New Roman" w:eastAsia="仿宋_GB2312" w:cs="Times New Roman"/>
          <w:sz w:val="32"/>
          <w:lang w:val="en-US" w:eastAsia="zh-CN"/>
        </w:rPr>
        <w:t>泛酸含量</w:t>
      </w:r>
      <w:r>
        <w:rPr>
          <w:rFonts w:hint="default" w:ascii="Times New Roman" w:hAnsi="Times New Roman" w:eastAsia="仿宋_GB2312" w:cs="Times New Roman"/>
          <w:sz w:val="32"/>
        </w:rPr>
        <w:t>不达标的原因，</w:t>
      </w:r>
      <w:r>
        <w:rPr>
          <w:rFonts w:hint="default" w:ascii="Times New Roman" w:hAnsi="Times New Roman" w:eastAsia="仿宋_GB2312" w:cs="Times New Roman"/>
          <w:sz w:val="32"/>
          <w:szCs w:val="32"/>
          <w:lang w:val="en-US" w:eastAsia="zh-CN"/>
        </w:rPr>
        <w:t>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val="en-US" w:eastAsia="zh-CN"/>
        </w:rPr>
        <w:t>符合质量要求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w:t>
      </w:r>
      <w:r>
        <w:rPr>
          <w:rFonts w:hint="default" w:ascii="Times New Roman" w:hAnsi="Times New Roman" w:eastAsia="仿宋_GB2312" w:cs="Times New Roman"/>
          <w:sz w:val="32"/>
          <w:szCs w:val="32"/>
        </w:rPr>
        <w:t>可能是生产加工过程中搅拌不均匀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还可能是</w:t>
      </w:r>
      <w:r>
        <w:rPr>
          <w:rFonts w:hint="default" w:ascii="Times New Roman" w:hAnsi="Times New Roman" w:eastAsia="仿宋_GB2312" w:cs="Times New Roman"/>
          <w:sz w:val="32"/>
          <w:szCs w:val="32"/>
        </w:rPr>
        <w:t>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黑体" w:hAnsi="黑体" w:eastAsia="黑体" w:cs="黑体"/>
          <w:spacing w:val="0"/>
          <w:sz w:val="32"/>
          <w:szCs w:val="32"/>
          <w:lang w:val="en-US" w:eastAsia="zh-CN"/>
        </w:rPr>
      </w:pPr>
      <w:r>
        <w:rPr>
          <w:rFonts w:hint="eastAsia" w:ascii="黑体" w:hAnsi="黑体" w:eastAsia="黑体" w:cs="黑体"/>
          <w:color w:val="auto"/>
          <w:spacing w:val="0"/>
          <w:sz w:val="32"/>
          <w:szCs w:val="32"/>
          <w:highlight w:val="none"/>
          <w:lang w:val="en-US" w:eastAsia="zh-CN"/>
        </w:rPr>
        <w:t>二十五、</w:t>
      </w:r>
      <w:r>
        <w:rPr>
          <w:rFonts w:hint="eastAsia" w:ascii="黑体" w:hAnsi="黑体" w:eastAsia="黑体" w:cs="黑体"/>
          <w:spacing w:val="0"/>
          <w:sz w:val="32"/>
          <w:szCs w:val="32"/>
          <w:lang w:val="en-US" w:eastAsia="zh-CN"/>
        </w:rPr>
        <w:t>维生素</w:t>
      </w:r>
      <w:r>
        <w:rPr>
          <w:rFonts w:hint="default" w:ascii="Times New Roman" w:hAnsi="Times New Roman" w:eastAsia="黑体" w:cs="Times New Roman"/>
          <w:spacing w:val="0"/>
          <w:sz w:val="32"/>
          <w:szCs w:val="32"/>
          <w:lang w:val="en-US" w:eastAsia="zh-CN"/>
        </w:rPr>
        <w:t>B</w:t>
      </w:r>
      <w:r>
        <w:rPr>
          <w:rFonts w:hint="default" w:ascii="Times New Roman" w:hAnsi="Times New Roman" w:eastAsia="黑体" w:cs="Times New Roman"/>
          <w:spacing w:val="0"/>
          <w:sz w:val="32"/>
          <w:szCs w:val="32"/>
          <w:vertAlign w:val="subscript"/>
          <w:lang w:val="en-US" w:eastAsia="zh-CN"/>
        </w:rPr>
        <w:t>1</w:t>
      </w:r>
    </w:p>
    <w:p>
      <w:pPr>
        <w:autoSpaceDE w:val="0"/>
        <w:autoSpaceDN w:val="0"/>
        <w:spacing w:after="0" w:line="594" w:lineRule="exact"/>
        <w:ind w:firstLine="640" w:firstLineChars="200"/>
        <w:rPr>
          <w:rFonts w:hint="eastAsia" w:eastAsia="仿宋_GB2312"/>
          <w:color w:val="auto"/>
          <w:sz w:val="32"/>
          <w:szCs w:val="32"/>
          <w:highlight w:val="none"/>
          <w:lang w:val="en-US" w:eastAsia="zh-CN"/>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1</w:t>
      </w:r>
      <w:r>
        <w:rPr>
          <w:rFonts w:hint="default" w:ascii="Times New Roman" w:hAnsi="Times New Roman" w:eastAsia="仿宋_GB2312" w:cs="Times New Roman"/>
          <w:kern w:val="2"/>
          <w:sz w:val="32"/>
          <w:szCs w:val="32"/>
          <w:lang w:val="en-US" w:eastAsia="zh-CN" w:bidi="ar-SA"/>
        </w:rPr>
        <w:t>是一种水溶性维生素，能够参与人体内能量代谢，</w:t>
      </w:r>
      <w:r>
        <w:rPr>
          <w:rFonts w:hint="default" w:ascii="Times New Roman" w:hAnsi="Times New Roman" w:eastAsia="仿宋_GB2312" w:cs="Times New Roman"/>
          <w:kern w:val="2"/>
          <w:sz w:val="32"/>
          <w:szCs w:val="32"/>
          <w:highlight w:val="none"/>
          <w:lang w:val="en-US" w:eastAsia="zh-CN" w:bidi="ar-SA"/>
        </w:rPr>
        <w:t>对维持神经、肌肉特别是心肌正常功能方面有重要作用。维生素B</w:t>
      </w:r>
      <w:r>
        <w:rPr>
          <w:rFonts w:hint="default" w:ascii="Times New Roman" w:hAnsi="Times New Roman" w:eastAsia="仿宋_GB2312" w:cs="Times New Roman"/>
          <w:kern w:val="2"/>
          <w:sz w:val="32"/>
          <w:szCs w:val="32"/>
          <w:highlight w:val="none"/>
          <w:vertAlign w:val="subscript"/>
          <w:lang w:val="en-US" w:eastAsia="zh-CN" w:bidi="ar-SA"/>
        </w:rPr>
        <w:t>1</w:t>
      </w:r>
      <w:r>
        <w:rPr>
          <w:rFonts w:hint="default" w:ascii="Times New Roman" w:hAnsi="Times New Roman" w:eastAsia="仿宋_GB2312" w:cs="Times New Roman"/>
          <w:kern w:val="2"/>
          <w:sz w:val="32"/>
          <w:szCs w:val="32"/>
          <w:highlight w:val="none"/>
          <w:lang w:val="en-US" w:eastAsia="zh-CN" w:bidi="ar-SA"/>
        </w:rPr>
        <w:t>缺乏容易导致人体产生疲劳、食欲不振，还可能引起脚气病等神经-血管系统损伤</w:t>
      </w:r>
      <w:r>
        <w:rPr>
          <w:rFonts w:hint="default"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sz w:val="32"/>
          <w:szCs w:val="32"/>
          <w:lang w:val="en-US" w:eastAsia="zh-CN"/>
        </w:rPr>
        <w:t>《食品安全国家标准 孕妇及乳母营养补充食品》（GB 31601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2015）中规定，孕妇及乳母营养补充食品中维生素B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含量（以每日计）应在0.6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2.8mg范围内</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《食品安全国家标准 预包装特殊膳食用食品标签》（GB 13432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2013）中规定，在产品保质期内，能量和营养成分的实际含量不应低于标示值的80%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孕妇及乳母营养补充食品中维生素B</w:t>
      </w:r>
      <w:r>
        <w:rPr>
          <w:rFonts w:hint="default" w:ascii="Times New Roman" w:hAnsi="Times New Roman" w:eastAsia="仿宋_GB2312" w:cs="Times New Roman"/>
          <w:sz w:val="32"/>
          <w:szCs w:val="32"/>
          <w:vertAlign w:val="subscript"/>
          <w:lang w:val="en-US" w:eastAsia="zh-CN"/>
        </w:rPr>
        <w:t>1</w:t>
      </w:r>
      <w:r>
        <w:rPr>
          <w:rFonts w:hint="default" w:ascii="Times New Roman" w:hAnsi="Times New Roman" w:eastAsia="仿宋_GB2312" w:cs="Times New Roman"/>
          <w:sz w:val="32"/>
          <w:szCs w:val="32"/>
          <w:lang w:val="en-US" w:eastAsia="zh-CN"/>
        </w:rPr>
        <w:t>含量不达标的原因，可能是</w:t>
      </w:r>
      <w:r>
        <w:rPr>
          <w:rFonts w:hint="default" w:ascii="Times New Roman" w:hAnsi="Times New Roman" w:eastAsia="仿宋_GB2312" w:cs="Times New Roman"/>
          <w:sz w:val="32"/>
          <w:szCs w:val="32"/>
        </w:rPr>
        <w:t>原辅料用食品营养强化剂不</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rPr>
        <w:t>质量要求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也可能是</w:t>
      </w:r>
      <w:r>
        <w:rPr>
          <w:rFonts w:hint="default" w:ascii="Times New Roman" w:hAnsi="Times New Roman" w:eastAsia="仿宋_GB2312" w:cs="Times New Roman"/>
          <w:sz w:val="32"/>
          <w:szCs w:val="32"/>
        </w:rPr>
        <w:t>生产加工过程中搅拌不均匀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还</w:t>
      </w:r>
      <w:r>
        <w:rPr>
          <w:rFonts w:hint="default" w:ascii="Times New Roman" w:hAnsi="Times New Roman" w:eastAsia="仿宋_GB2312" w:cs="Times New Roman"/>
          <w:sz w:val="32"/>
          <w:szCs w:val="32"/>
        </w:rPr>
        <w:t>可能是在加工或储存过程中损失。</w:t>
      </w:r>
    </w:p>
    <w:p>
      <w:pPr>
        <w:pStyle w:val="9"/>
        <w:keepNext w:val="0"/>
        <w:keepLines w:val="0"/>
        <w:pageBreakBefore w:val="0"/>
        <w:widowControl w:val="0"/>
        <w:kinsoku/>
        <w:wordWrap/>
        <w:overflowPunct/>
        <w:topLinePunct w:val="0"/>
        <w:bidi w:val="0"/>
        <w:adjustRightInd/>
        <w:snapToGrid/>
        <w:spacing w:after="0" w:line="594"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color w:val="auto"/>
          <w:spacing w:val="0"/>
          <w:sz w:val="32"/>
          <w:szCs w:val="32"/>
          <w:highlight w:val="none"/>
          <w:lang w:val="en-US" w:eastAsia="zh-CN"/>
        </w:rPr>
        <w:t>二十六、</w:t>
      </w:r>
      <w:r>
        <w:rPr>
          <w:rFonts w:hint="eastAsia" w:ascii="黑体" w:hAnsi="黑体" w:eastAsia="黑体" w:cs="黑体"/>
          <w:kern w:val="2"/>
          <w:sz w:val="32"/>
          <w:szCs w:val="32"/>
          <w:lang w:val="en-US" w:eastAsia="zh-CN" w:bidi="ar-SA"/>
        </w:rPr>
        <w:t>维生素</w:t>
      </w:r>
      <w:r>
        <w:rPr>
          <w:rFonts w:hint="default" w:ascii="Times New Roman" w:hAnsi="Times New Roman" w:eastAsia="黑体" w:cs="Times New Roman"/>
          <w:kern w:val="2"/>
          <w:sz w:val="32"/>
          <w:szCs w:val="32"/>
          <w:lang w:val="en-US" w:eastAsia="zh-CN" w:bidi="ar-SA"/>
        </w:rPr>
        <w:t>B</w:t>
      </w:r>
      <w:r>
        <w:rPr>
          <w:rFonts w:hint="default" w:ascii="Times New Roman" w:hAnsi="Times New Roman" w:eastAsia="黑体" w:cs="Times New Roman"/>
          <w:kern w:val="2"/>
          <w:sz w:val="32"/>
          <w:szCs w:val="32"/>
          <w:vertAlign w:val="subscript"/>
          <w:lang w:val="en-US" w:eastAsia="zh-CN" w:bidi="ar-SA"/>
        </w:rPr>
        <w:t>12</w:t>
      </w:r>
    </w:p>
    <w:p>
      <w:pPr>
        <w:pStyle w:val="9"/>
        <w:adjustRightInd/>
        <w:spacing w:after="0" w:line="594" w:lineRule="exact"/>
        <w:ind w:firstLine="592"/>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kern w:val="2"/>
          <w:sz w:val="32"/>
          <w:szCs w:val="32"/>
          <w:lang w:val="en-US" w:eastAsia="zh-CN" w:bidi="ar-SA"/>
        </w:rPr>
        <w:t>维生素B</w:t>
      </w:r>
      <w:r>
        <w:rPr>
          <w:rFonts w:hint="default" w:ascii="Times New Roman" w:hAnsi="Times New Roman" w:eastAsia="仿宋_GB2312" w:cs="Times New Roman"/>
          <w:kern w:val="2"/>
          <w:sz w:val="32"/>
          <w:szCs w:val="32"/>
          <w:vertAlign w:val="subscript"/>
          <w:lang w:val="en-US" w:eastAsia="zh-CN" w:bidi="ar-SA"/>
        </w:rPr>
        <w:t>12</w:t>
      </w:r>
      <w:r>
        <w:rPr>
          <w:rFonts w:hint="default" w:ascii="Times New Roman" w:hAnsi="Times New Roman" w:eastAsia="仿宋_GB2312" w:cs="Times New Roman"/>
          <w:kern w:val="2"/>
          <w:sz w:val="32"/>
          <w:szCs w:val="32"/>
          <w:lang w:val="en-US" w:eastAsia="zh-CN" w:bidi="ar-SA"/>
        </w:rPr>
        <w:t>是一种水溶性维生素，主要以辅酶的形式存在并参与体内生化反应。维生素B</w:t>
      </w:r>
      <w:r>
        <w:rPr>
          <w:rFonts w:hint="default" w:ascii="Times New Roman" w:hAnsi="Times New Roman" w:eastAsia="仿宋_GB2312" w:cs="Times New Roman"/>
          <w:kern w:val="2"/>
          <w:sz w:val="32"/>
          <w:szCs w:val="32"/>
          <w:vertAlign w:val="subscript"/>
          <w:lang w:val="en-US" w:eastAsia="zh-CN" w:bidi="ar-SA"/>
        </w:rPr>
        <w:t>12</w:t>
      </w:r>
      <w:r>
        <w:rPr>
          <w:rFonts w:hint="default" w:ascii="Times New Roman" w:hAnsi="Times New Roman" w:eastAsia="仿宋_GB2312" w:cs="Times New Roman"/>
          <w:kern w:val="2"/>
          <w:sz w:val="32"/>
          <w:szCs w:val="32"/>
          <w:lang w:val="en-US" w:eastAsia="zh-CN" w:bidi="ar-SA"/>
        </w:rPr>
        <w:t>缺乏可能引起巨幼红细胞性贫血、神经系统损害、高同型半胱氨酸血症，还可能影响叶酸代谢。《食品安全国家标准 孕妇及乳母营养补充食品》（GB 31601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2015）中规定，孕妇及乳母营养补充食品中维生素B</w:t>
      </w:r>
      <w:r>
        <w:rPr>
          <w:rFonts w:hint="default" w:ascii="Times New Roman" w:hAnsi="Times New Roman" w:eastAsia="仿宋_GB2312" w:cs="Times New Roman"/>
          <w:kern w:val="2"/>
          <w:sz w:val="32"/>
          <w:szCs w:val="32"/>
          <w:vertAlign w:val="subscript"/>
          <w:lang w:val="en-US" w:eastAsia="zh-CN" w:bidi="ar-SA"/>
        </w:rPr>
        <w:t>12</w:t>
      </w:r>
      <w:r>
        <w:rPr>
          <w:rFonts w:hint="default" w:ascii="Times New Roman" w:hAnsi="Times New Roman" w:eastAsia="仿宋_GB2312" w:cs="Times New Roman"/>
          <w:kern w:val="2"/>
          <w:sz w:val="32"/>
          <w:szCs w:val="32"/>
          <w:lang w:val="en-US" w:eastAsia="zh-CN" w:bidi="ar-SA"/>
        </w:rPr>
        <w:t>含量（以每日计）应在1.</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4.8μg范围内</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《食品安全国家标准 预包装特殊膳食用食品标签》（GB 13432</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2013）中规定，在产品保质期内，能量和营养成分的实际含量不应低于标示值的80%。孕妇及乳母营养补充食品中维生素B</w:t>
      </w:r>
      <w:r>
        <w:rPr>
          <w:rFonts w:hint="default" w:ascii="Times New Roman" w:hAnsi="Times New Roman" w:eastAsia="仿宋_GB2312" w:cs="Times New Roman"/>
          <w:kern w:val="2"/>
          <w:sz w:val="32"/>
          <w:szCs w:val="32"/>
          <w:vertAlign w:val="subscript"/>
          <w:lang w:val="en-US" w:eastAsia="zh-CN" w:bidi="ar-SA"/>
        </w:rPr>
        <w:t>12</w:t>
      </w:r>
      <w:r>
        <w:rPr>
          <w:rFonts w:hint="default" w:ascii="Times New Roman" w:hAnsi="Times New Roman" w:eastAsia="仿宋_GB2312" w:cs="Times New Roman"/>
          <w:kern w:val="2"/>
          <w:sz w:val="32"/>
          <w:szCs w:val="32"/>
          <w:lang w:val="en-US" w:eastAsia="zh-CN" w:bidi="ar-SA"/>
        </w:rPr>
        <w:t>含量</w:t>
      </w:r>
      <w:r>
        <w:rPr>
          <w:rFonts w:hint="default" w:ascii="Times New Roman" w:hAnsi="Times New Roman" w:eastAsia="仿宋_GB2312" w:cs="Times New Roman"/>
          <w:sz w:val="32"/>
          <w:szCs w:val="32"/>
          <w:lang w:val="en-US" w:eastAsia="zh-CN"/>
        </w:rPr>
        <w:t>不达标</w:t>
      </w:r>
      <w:r>
        <w:rPr>
          <w:rFonts w:hint="default" w:ascii="Times New Roman" w:hAnsi="Times New Roman" w:eastAsia="仿宋_GB2312" w:cs="Times New Roman"/>
          <w:kern w:val="2"/>
          <w:sz w:val="32"/>
          <w:szCs w:val="32"/>
          <w:lang w:val="en-US" w:eastAsia="zh-CN" w:bidi="ar-SA"/>
        </w:rPr>
        <w:t>的原因，可能是原辅料用食品营养强化剂不符合质量要求；也可能是生产加工过程中搅拌不均匀；还可能是在加工或储存过程中损失。</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黑体" w:cs="Times New Roman"/>
          <w:spacing w:val="0"/>
          <w:sz w:val="32"/>
          <w:szCs w:val="32"/>
          <w:lang w:val="en-US" w:eastAsia="zh-CN"/>
        </w:rPr>
      </w:pPr>
      <w:r>
        <w:rPr>
          <w:rFonts w:hint="eastAsia" w:ascii="黑体" w:hAnsi="黑体" w:eastAsia="黑体" w:cs="黑体"/>
          <w:color w:val="auto"/>
          <w:spacing w:val="0"/>
          <w:sz w:val="32"/>
          <w:szCs w:val="32"/>
          <w:highlight w:val="none"/>
          <w:lang w:val="en-US" w:eastAsia="zh-CN"/>
        </w:rPr>
        <w:t>二十七、</w:t>
      </w:r>
      <w:r>
        <w:rPr>
          <w:rFonts w:hint="default" w:ascii="Times New Roman" w:hAnsi="Times New Roman" w:eastAsia="黑体" w:cs="Times New Roman"/>
          <w:spacing w:val="0"/>
          <w:sz w:val="32"/>
          <w:szCs w:val="32"/>
          <w:lang w:val="en-US" w:eastAsia="zh-CN"/>
        </w:rPr>
        <w:t>钠</w:t>
      </w:r>
    </w:p>
    <w:p>
      <w:pPr>
        <w:adjustRightInd/>
        <w:snapToGrid/>
        <w:spacing w:after="0" w:line="594"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钠是人体必需的常量元素，钠离子在体内有助于维持渗透压和酸碱平衡，协助生理功能正常运作。钠缺乏可能会导致食欲减退、倦怠、恶心呕吐、血压降低等。《食品安全国家标准 运动营养食品通则》（GB 24154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2015）中规定，没有特别添加钠营养素的运动营养食品中钠的最大含量（以每日计）为1600mg</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《食品安全国家标准 预包装特殊膳食用食品标签》（GB 13432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2013）中规定，在产品保质期内，能量和营养成分的实际含量不应低于标示值的80%。运动营养食品中钠含量不达标的原因，可能是生产工艺不合理；也可能是产品标签标注不规范。</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等线">
    <w:altName w:val="方正黑体简体"/>
    <w:panose1 w:val="02010600030101010101"/>
    <w:charset w:val="86"/>
    <w:family w:val="auto"/>
    <w:pitch w:val="default"/>
    <w:sig w:usb0="00000000" w:usb1="00000000" w:usb2="00000016" w:usb3="00000000" w:csb0="0004000F" w:csb1="00000000"/>
  </w:font>
  <w:font w:name="方正黑体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汉仪大宋简">
    <w:panose1 w:val="02010609000101010101"/>
    <w:charset w:val="86"/>
    <w:family w:val="auto"/>
    <w:pitch w:val="default"/>
    <w:sig w:usb0="00000001" w:usb1="080E0800" w:usb2="00000002"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lang w:val="zh-CN"/>
      </w:rPr>
    </w:sdtEndPr>
    <w:sdtContent>
      <w:p>
        <w:pPr>
          <w:pStyle w:val="5"/>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3</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Nzk0NGJjYjlhZTdmZjU0YmM5NTY3ODhkYTUwMzcifQ=="/>
  </w:docVars>
  <w:rsids>
    <w:rsidRoot w:val="052446EE"/>
    <w:rsid w:val="00020497"/>
    <w:rsid w:val="00024C6D"/>
    <w:rsid w:val="00043432"/>
    <w:rsid w:val="00043867"/>
    <w:rsid w:val="00053AE6"/>
    <w:rsid w:val="00083C9A"/>
    <w:rsid w:val="000A1FB4"/>
    <w:rsid w:val="000B21AE"/>
    <w:rsid w:val="000B4026"/>
    <w:rsid w:val="000B4DAD"/>
    <w:rsid w:val="000C502F"/>
    <w:rsid w:val="000C6083"/>
    <w:rsid w:val="000D1C58"/>
    <w:rsid w:val="000D34F7"/>
    <w:rsid w:val="000F7117"/>
    <w:rsid w:val="0010216A"/>
    <w:rsid w:val="00107958"/>
    <w:rsid w:val="00110259"/>
    <w:rsid w:val="001220AD"/>
    <w:rsid w:val="00123FF4"/>
    <w:rsid w:val="00131A76"/>
    <w:rsid w:val="0013226B"/>
    <w:rsid w:val="0015275C"/>
    <w:rsid w:val="001727C1"/>
    <w:rsid w:val="00177381"/>
    <w:rsid w:val="0019592F"/>
    <w:rsid w:val="001C1A51"/>
    <w:rsid w:val="001D168E"/>
    <w:rsid w:val="001D3191"/>
    <w:rsid w:val="001E3878"/>
    <w:rsid w:val="001E40B2"/>
    <w:rsid w:val="001F4428"/>
    <w:rsid w:val="001F5BDC"/>
    <w:rsid w:val="0024004A"/>
    <w:rsid w:val="00242E9A"/>
    <w:rsid w:val="00244971"/>
    <w:rsid w:val="0025796E"/>
    <w:rsid w:val="002849D1"/>
    <w:rsid w:val="00287BFF"/>
    <w:rsid w:val="002A1219"/>
    <w:rsid w:val="002A2616"/>
    <w:rsid w:val="002A3534"/>
    <w:rsid w:val="002D0E99"/>
    <w:rsid w:val="002D2E25"/>
    <w:rsid w:val="00305C48"/>
    <w:rsid w:val="00312A7A"/>
    <w:rsid w:val="0033388D"/>
    <w:rsid w:val="003347AE"/>
    <w:rsid w:val="00336B1D"/>
    <w:rsid w:val="00343C07"/>
    <w:rsid w:val="00363809"/>
    <w:rsid w:val="00375893"/>
    <w:rsid w:val="00390C6C"/>
    <w:rsid w:val="003B1570"/>
    <w:rsid w:val="003C27DE"/>
    <w:rsid w:val="003F22EE"/>
    <w:rsid w:val="00415A66"/>
    <w:rsid w:val="00423285"/>
    <w:rsid w:val="00434D14"/>
    <w:rsid w:val="00452EBB"/>
    <w:rsid w:val="0049668F"/>
    <w:rsid w:val="004A228F"/>
    <w:rsid w:val="004B4C0B"/>
    <w:rsid w:val="004C3F64"/>
    <w:rsid w:val="004F17CC"/>
    <w:rsid w:val="0050201A"/>
    <w:rsid w:val="00503C7B"/>
    <w:rsid w:val="00533D1D"/>
    <w:rsid w:val="005557BE"/>
    <w:rsid w:val="00560DD5"/>
    <w:rsid w:val="0056128C"/>
    <w:rsid w:val="005A1446"/>
    <w:rsid w:val="005B036E"/>
    <w:rsid w:val="005C72E8"/>
    <w:rsid w:val="005E1899"/>
    <w:rsid w:val="005E36FE"/>
    <w:rsid w:val="005E5714"/>
    <w:rsid w:val="005F4FE7"/>
    <w:rsid w:val="006000A5"/>
    <w:rsid w:val="00601F5C"/>
    <w:rsid w:val="0062795C"/>
    <w:rsid w:val="006417C9"/>
    <w:rsid w:val="00674436"/>
    <w:rsid w:val="00681D0D"/>
    <w:rsid w:val="00687989"/>
    <w:rsid w:val="006E2F89"/>
    <w:rsid w:val="006E6218"/>
    <w:rsid w:val="006F0D6D"/>
    <w:rsid w:val="006F22C8"/>
    <w:rsid w:val="006F3B40"/>
    <w:rsid w:val="00704F64"/>
    <w:rsid w:val="00725909"/>
    <w:rsid w:val="007400B0"/>
    <w:rsid w:val="00751527"/>
    <w:rsid w:val="007535B9"/>
    <w:rsid w:val="007576ED"/>
    <w:rsid w:val="00760BDF"/>
    <w:rsid w:val="0077656B"/>
    <w:rsid w:val="007822C5"/>
    <w:rsid w:val="00792534"/>
    <w:rsid w:val="007C73DC"/>
    <w:rsid w:val="007D0852"/>
    <w:rsid w:val="007F55A3"/>
    <w:rsid w:val="007F6A2F"/>
    <w:rsid w:val="00802F57"/>
    <w:rsid w:val="00812F54"/>
    <w:rsid w:val="008270FB"/>
    <w:rsid w:val="0082773A"/>
    <w:rsid w:val="00895609"/>
    <w:rsid w:val="008A22C6"/>
    <w:rsid w:val="008A2568"/>
    <w:rsid w:val="008C1383"/>
    <w:rsid w:val="008C3F7A"/>
    <w:rsid w:val="008D3AA0"/>
    <w:rsid w:val="008E762E"/>
    <w:rsid w:val="008F0056"/>
    <w:rsid w:val="00903A84"/>
    <w:rsid w:val="00906A8C"/>
    <w:rsid w:val="00933FC6"/>
    <w:rsid w:val="00950CBE"/>
    <w:rsid w:val="009568FF"/>
    <w:rsid w:val="00967245"/>
    <w:rsid w:val="00980954"/>
    <w:rsid w:val="009809DA"/>
    <w:rsid w:val="00981C27"/>
    <w:rsid w:val="009941B3"/>
    <w:rsid w:val="009D2294"/>
    <w:rsid w:val="009D56C5"/>
    <w:rsid w:val="009E2E64"/>
    <w:rsid w:val="009F42E5"/>
    <w:rsid w:val="009F75A8"/>
    <w:rsid w:val="00A0189E"/>
    <w:rsid w:val="00A12057"/>
    <w:rsid w:val="00A655ED"/>
    <w:rsid w:val="00A72D59"/>
    <w:rsid w:val="00A819D9"/>
    <w:rsid w:val="00A858FD"/>
    <w:rsid w:val="00A8639F"/>
    <w:rsid w:val="00AE2978"/>
    <w:rsid w:val="00AE3415"/>
    <w:rsid w:val="00AE4163"/>
    <w:rsid w:val="00AE443A"/>
    <w:rsid w:val="00AF3D26"/>
    <w:rsid w:val="00B02836"/>
    <w:rsid w:val="00B17403"/>
    <w:rsid w:val="00B26756"/>
    <w:rsid w:val="00B30079"/>
    <w:rsid w:val="00B342D4"/>
    <w:rsid w:val="00B46A7C"/>
    <w:rsid w:val="00B56A64"/>
    <w:rsid w:val="00B734B6"/>
    <w:rsid w:val="00B82BD1"/>
    <w:rsid w:val="00B83167"/>
    <w:rsid w:val="00B876A6"/>
    <w:rsid w:val="00BA50EB"/>
    <w:rsid w:val="00BE4729"/>
    <w:rsid w:val="00C05D47"/>
    <w:rsid w:val="00C10FA4"/>
    <w:rsid w:val="00C22080"/>
    <w:rsid w:val="00C277F9"/>
    <w:rsid w:val="00C35F32"/>
    <w:rsid w:val="00C425FB"/>
    <w:rsid w:val="00C47869"/>
    <w:rsid w:val="00C52899"/>
    <w:rsid w:val="00C53768"/>
    <w:rsid w:val="00C71CF8"/>
    <w:rsid w:val="00C82E32"/>
    <w:rsid w:val="00C95DA4"/>
    <w:rsid w:val="00CD2658"/>
    <w:rsid w:val="00CD5EC3"/>
    <w:rsid w:val="00CE26B0"/>
    <w:rsid w:val="00CE296E"/>
    <w:rsid w:val="00D026A1"/>
    <w:rsid w:val="00D0282A"/>
    <w:rsid w:val="00D02ED8"/>
    <w:rsid w:val="00D172AA"/>
    <w:rsid w:val="00D17FA8"/>
    <w:rsid w:val="00D221B8"/>
    <w:rsid w:val="00D25ABD"/>
    <w:rsid w:val="00D407AC"/>
    <w:rsid w:val="00D44653"/>
    <w:rsid w:val="00D550F5"/>
    <w:rsid w:val="00D716C1"/>
    <w:rsid w:val="00D75D39"/>
    <w:rsid w:val="00D940B0"/>
    <w:rsid w:val="00DB0F7D"/>
    <w:rsid w:val="00DB3515"/>
    <w:rsid w:val="00DB7633"/>
    <w:rsid w:val="00DB7982"/>
    <w:rsid w:val="00DC4018"/>
    <w:rsid w:val="00DD03EA"/>
    <w:rsid w:val="00DD59C8"/>
    <w:rsid w:val="00DD7C24"/>
    <w:rsid w:val="00E01EB3"/>
    <w:rsid w:val="00E07B1F"/>
    <w:rsid w:val="00E16D89"/>
    <w:rsid w:val="00E45266"/>
    <w:rsid w:val="00E5453C"/>
    <w:rsid w:val="00E54EE8"/>
    <w:rsid w:val="00E651D8"/>
    <w:rsid w:val="00E66BDB"/>
    <w:rsid w:val="00E721EF"/>
    <w:rsid w:val="00E73511"/>
    <w:rsid w:val="00E81D4E"/>
    <w:rsid w:val="00E90919"/>
    <w:rsid w:val="00EA2C6D"/>
    <w:rsid w:val="00EB1898"/>
    <w:rsid w:val="00EB2DC4"/>
    <w:rsid w:val="00ED0033"/>
    <w:rsid w:val="00EE4D2C"/>
    <w:rsid w:val="00EF6290"/>
    <w:rsid w:val="00F009DD"/>
    <w:rsid w:val="00F10843"/>
    <w:rsid w:val="00F129A7"/>
    <w:rsid w:val="00F1663E"/>
    <w:rsid w:val="00F407C3"/>
    <w:rsid w:val="00F502BA"/>
    <w:rsid w:val="00F73C8B"/>
    <w:rsid w:val="00F748C1"/>
    <w:rsid w:val="00F84AAD"/>
    <w:rsid w:val="00F935EF"/>
    <w:rsid w:val="00F94FE6"/>
    <w:rsid w:val="00FA2106"/>
    <w:rsid w:val="00FA4809"/>
    <w:rsid w:val="00FB1217"/>
    <w:rsid w:val="00FB53DF"/>
    <w:rsid w:val="00FB60C0"/>
    <w:rsid w:val="01521B81"/>
    <w:rsid w:val="01A56D4B"/>
    <w:rsid w:val="01C40DDD"/>
    <w:rsid w:val="02661E94"/>
    <w:rsid w:val="027A5D95"/>
    <w:rsid w:val="028D1A14"/>
    <w:rsid w:val="02EE52CA"/>
    <w:rsid w:val="03130978"/>
    <w:rsid w:val="038F0445"/>
    <w:rsid w:val="03A414C8"/>
    <w:rsid w:val="03F93ABC"/>
    <w:rsid w:val="04025BED"/>
    <w:rsid w:val="04294F27"/>
    <w:rsid w:val="043132CE"/>
    <w:rsid w:val="04B16515"/>
    <w:rsid w:val="04C47CFA"/>
    <w:rsid w:val="052446EE"/>
    <w:rsid w:val="052567B4"/>
    <w:rsid w:val="053242B0"/>
    <w:rsid w:val="05462D97"/>
    <w:rsid w:val="05486422"/>
    <w:rsid w:val="055E15B3"/>
    <w:rsid w:val="05907CAB"/>
    <w:rsid w:val="06A61BD4"/>
    <w:rsid w:val="06A71C34"/>
    <w:rsid w:val="06FC4B75"/>
    <w:rsid w:val="070639D0"/>
    <w:rsid w:val="0722265B"/>
    <w:rsid w:val="07265873"/>
    <w:rsid w:val="0780615A"/>
    <w:rsid w:val="07A30962"/>
    <w:rsid w:val="07DA160B"/>
    <w:rsid w:val="081C479D"/>
    <w:rsid w:val="084F41B0"/>
    <w:rsid w:val="089E37AF"/>
    <w:rsid w:val="09227595"/>
    <w:rsid w:val="09FE6495"/>
    <w:rsid w:val="0AAD48BF"/>
    <w:rsid w:val="0AC442D1"/>
    <w:rsid w:val="0ADC3742"/>
    <w:rsid w:val="0B107A4A"/>
    <w:rsid w:val="0B437A81"/>
    <w:rsid w:val="0BAC1F15"/>
    <w:rsid w:val="0BC8771C"/>
    <w:rsid w:val="0BCB7477"/>
    <w:rsid w:val="0BCF39F7"/>
    <w:rsid w:val="0C2A1C3C"/>
    <w:rsid w:val="0C2D133B"/>
    <w:rsid w:val="0C364B74"/>
    <w:rsid w:val="0C476D67"/>
    <w:rsid w:val="0CB80C50"/>
    <w:rsid w:val="0CD40A10"/>
    <w:rsid w:val="0CF0645F"/>
    <w:rsid w:val="0D7B670C"/>
    <w:rsid w:val="0DAC348B"/>
    <w:rsid w:val="0E092D0B"/>
    <w:rsid w:val="0EC81837"/>
    <w:rsid w:val="0EDA7A01"/>
    <w:rsid w:val="0F5238B5"/>
    <w:rsid w:val="0FEB509E"/>
    <w:rsid w:val="0FF5732E"/>
    <w:rsid w:val="0FFF6C37"/>
    <w:rsid w:val="102D3FF1"/>
    <w:rsid w:val="103364D3"/>
    <w:rsid w:val="105542C0"/>
    <w:rsid w:val="10625608"/>
    <w:rsid w:val="108233AD"/>
    <w:rsid w:val="10A511DC"/>
    <w:rsid w:val="10C75499"/>
    <w:rsid w:val="10F93D79"/>
    <w:rsid w:val="111C434C"/>
    <w:rsid w:val="11A245C9"/>
    <w:rsid w:val="11A552D9"/>
    <w:rsid w:val="11AD305F"/>
    <w:rsid w:val="12076629"/>
    <w:rsid w:val="12C90538"/>
    <w:rsid w:val="12D22C2E"/>
    <w:rsid w:val="12F72E14"/>
    <w:rsid w:val="12FD4DF0"/>
    <w:rsid w:val="130B5CD4"/>
    <w:rsid w:val="133001AE"/>
    <w:rsid w:val="134D526F"/>
    <w:rsid w:val="13971551"/>
    <w:rsid w:val="14D86DA1"/>
    <w:rsid w:val="15044CA6"/>
    <w:rsid w:val="156E0206"/>
    <w:rsid w:val="160A5910"/>
    <w:rsid w:val="164A4168"/>
    <w:rsid w:val="16E342D2"/>
    <w:rsid w:val="17033CEF"/>
    <w:rsid w:val="1722569F"/>
    <w:rsid w:val="178C1298"/>
    <w:rsid w:val="18B17C05"/>
    <w:rsid w:val="19067FF8"/>
    <w:rsid w:val="195E164B"/>
    <w:rsid w:val="196B1D4E"/>
    <w:rsid w:val="19977A4A"/>
    <w:rsid w:val="19D6063F"/>
    <w:rsid w:val="19DD082F"/>
    <w:rsid w:val="1A907481"/>
    <w:rsid w:val="1AD508F6"/>
    <w:rsid w:val="1AEC7B0C"/>
    <w:rsid w:val="1B03607B"/>
    <w:rsid w:val="1B2E77B1"/>
    <w:rsid w:val="1B3D7278"/>
    <w:rsid w:val="1B7E4CF9"/>
    <w:rsid w:val="1C2A3D09"/>
    <w:rsid w:val="1CE5696D"/>
    <w:rsid w:val="1D513069"/>
    <w:rsid w:val="1D6C2FCD"/>
    <w:rsid w:val="1DA014D7"/>
    <w:rsid w:val="1DA97C4C"/>
    <w:rsid w:val="1DF6698D"/>
    <w:rsid w:val="1E0B5C9C"/>
    <w:rsid w:val="1E1A3721"/>
    <w:rsid w:val="1E37319B"/>
    <w:rsid w:val="1E9157FB"/>
    <w:rsid w:val="1ECF2759"/>
    <w:rsid w:val="1F961D6E"/>
    <w:rsid w:val="1FA03EF4"/>
    <w:rsid w:val="1FCF0608"/>
    <w:rsid w:val="1FF5604A"/>
    <w:rsid w:val="1FF77807"/>
    <w:rsid w:val="203D0B3D"/>
    <w:rsid w:val="20582274"/>
    <w:rsid w:val="2059449C"/>
    <w:rsid w:val="20BC665B"/>
    <w:rsid w:val="20C11697"/>
    <w:rsid w:val="20DF2D7E"/>
    <w:rsid w:val="20E97796"/>
    <w:rsid w:val="21372698"/>
    <w:rsid w:val="215701F0"/>
    <w:rsid w:val="2298310D"/>
    <w:rsid w:val="22E67475"/>
    <w:rsid w:val="239D06F1"/>
    <w:rsid w:val="23D113E8"/>
    <w:rsid w:val="24235EAA"/>
    <w:rsid w:val="24762C28"/>
    <w:rsid w:val="247A6FAA"/>
    <w:rsid w:val="249D47DC"/>
    <w:rsid w:val="25124A75"/>
    <w:rsid w:val="259E23E3"/>
    <w:rsid w:val="26314ACD"/>
    <w:rsid w:val="266C5903"/>
    <w:rsid w:val="26846429"/>
    <w:rsid w:val="269D741C"/>
    <w:rsid w:val="26B71989"/>
    <w:rsid w:val="27584E00"/>
    <w:rsid w:val="275A07ED"/>
    <w:rsid w:val="27894434"/>
    <w:rsid w:val="27B8270D"/>
    <w:rsid w:val="27C43035"/>
    <w:rsid w:val="27CF1A25"/>
    <w:rsid w:val="28501F15"/>
    <w:rsid w:val="28CC6DE2"/>
    <w:rsid w:val="2924792E"/>
    <w:rsid w:val="294A7F7D"/>
    <w:rsid w:val="29F504F1"/>
    <w:rsid w:val="29F8276D"/>
    <w:rsid w:val="29FB7D70"/>
    <w:rsid w:val="2A4672BA"/>
    <w:rsid w:val="2A53594F"/>
    <w:rsid w:val="2A6F4459"/>
    <w:rsid w:val="2ABF7615"/>
    <w:rsid w:val="2AEB7548"/>
    <w:rsid w:val="2AF42F2E"/>
    <w:rsid w:val="2BCB7237"/>
    <w:rsid w:val="2BD07C59"/>
    <w:rsid w:val="2C1205D9"/>
    <w:rsid w:val="2CD74E22"/>
    <w:rsid w:val="2CE70F66"/>
    <w:rsid w:val="2D64060D"/>
    <w:rsid w:val="2D7D16EA"/>
    <w:rsid w:val="2DA62CE5"/>
    <w:rsid w:val="2E1F3F87"/>
    <w:rsid w:val="2E25104B"/>
    <w:rsid w:val="2E4243E1"/>
    <w:rsid w:val="2ECD0714"/>
    <w:rsid w:val="2F033EB0"/>
    <w:rsid w:val="2F197EB6"/>
    <w:rsid w:val="2F2C68FC"/>
    <w:rsid w:val="2F712A79"/>
    <w:rsid w:val="2F9A4E1E"/>
    <w:rsid w:val="2F9B35E3"/>
    <w:rsid w:val="2FDD066F"/>
    <w:rsid w:val="2FF4710F"/>
    <w:rsid w:val="30706BFB"/>
    <w:rsid w:val="30730D18"/>
    <w:rsid w:val="308001C6"/>
    <w:rsid w:val="30AC7B38"/>
    <w:rsid w:val="31252E3F"/>
    <w:rsid w:val="31B405DF"/>
    <w:rsid w:val="31FD11FC"/>
    <w:rsid w:val="32A67649"/>
    <w:rsid w:val="33844E91"/>
    <w:rsid w:val="339A091A"/>
    <w:rsid w:val="33BA14BA"/>
    <w:rsid w:val="34151A1C"/>
    <w:rsid w:val="342D7174"/>
    <w:rsid w:val="34516D2E"/>
    <w:rsid w:val="34B86E31"/>
    <w:rsid w:val="34DB4439"/>
    <w:rsid w:val="34F97B15"/>
    <w:rsid w:val="358F3E74"/>
    <w:rsid w:val="35AE42B6"/>
    <w:rsid w:val="35B553BC"/>
    <w:rsid w:val="35EC612F"/>
    <w:rsid w:val="36256509"/>
    <w:rsid w:val="36AD5E36"/>
    <w:rsid w:val="36B30709"/>
    <w:rsid w:val="36BB0136"/>
    <w:rsid w:val="36BB4D35"/>
    <w:rsid w:val="37E01180"/>
    <w:rsid w:val="37E56DDC"/>
    <w:rsid w:val="37F900FD"/>
    <w:rsid w:val="383F0A08"/>
    <w:rsid w:val="38933D71"/>
    <w:rsid w:val="389D7FD9"/>
    <w:rsid w:val="38AA3B42"/>
    <w:rsid w:val="392A1904"/>
    <w:rsid w:val="392E7281"/>
    <w:rsid w:val="394C2E8B"/>
    <w:rsid w:val="395E00B1"/>
    <w:rsid w:val="39673EBA"/>
    <w:rsid w:val="3A4A0926"/>
    <w:rsid w:val="3A52468E"/>
    <w:rsid w:val="3A8A5A19"/>
    <w:rsid w:val="3AA478AB"/>
    <w:rsid w:val="3B2D45F6"/>
    <w:rsid w:val="3B5B0921"/>
    <w:rsid w:val="3C2512EE"/>
    <w:rsid w:val="3C3812CC"/>
    <w:rsid w:val="3C432FF1"/>
    <w:rsid w:val="3C4B12A5"/>
    <w:rsid w:val="3C4D2E8B"/>
    <w:rsid w:val="3C81270D"/>
    <w:rsid w:val="3D54210C"/>
    <w:rsid w:val="3DD57988"/>
    <w:rsid w:val="3E56682C"/>
    <w:rsid w:val="3ED05834"/>
    <w:rsid w:val="3EF229BA"/>
    <w:rsid w:val="3F064ECA"/>
    <w:rsid w:val="3F42581D"/>
    <w:rsid w:val="3FA01312"/>
    <w:rsid w:val="3FED319C"/>
    <w:rsid w:val="401234CD"/>
    <w:rsid w:val="405B301B"/>
    <w:rsid w:val="408B4949"/>
    <w:rsid w:val="40F962F7"/>
    <w:rsid w:val="41025C20"/>
    <w:rsid w:val="411B6563"/>
    <w:rsid w:val="41344E6E"/>
    <w:rsid w:val="4218656A"/>
    <w:rsid w:val="4236267D"/>
    <w:rsid w:val="42590783"/>
    <w:rsid w:val="42843858"/>
    <w:rsid w:val="42BC2694"/>
    <w:rsid w:val="42C6205B"/>
    <w:rsid w:val="43AF5096"/>
    <w:rsid w:val="43ED18D3"/>
    <w:rsid w:val="44120B90"/>
    <w:rsid w:val="446C036D"/>
    <w:rsid w:val="448604CB"/>
    <w:rsid w:val="44921DE2"/>
    <w:rsid w:val="4493451F"/>
    <w:rsid w:val="44CE64DA"/>
    <w:rsid w:val="44DE50C7"/>
    <w:rsid w:val="452A2755"/>
    <w:rsid w:val="45562D9B"/>
    <w:rsid w:val="458C5588"/>
    <w:rsid w:val="45AF268C"/>
    <w:rsid w:val="463A646A"/>
    <w:rsid w:val="46994A91"/>
    <w:rsid w:val="46CC3297"/>
    <w:rsid w:val="471E6356"/>
    <w:rsid w:val="47242D51"/>
    <w:rsid w:val="47D450E7"/>
    <w:rsid w:val="47D93B1F"/>
    <w:rsid w:val="48CD06B6"/>
    <w:rsid w:val="48CE02C4"/>
    <w:rsid w:val="48D63B60"/>
    <w:rsid w:val="48F615AA"/>
    <w:rsid w:val="490A2BDA"/>
    <w:rsid w:val="491E2B74"/>
    <w:rsid w:val="493B6E40"/>
    <w:rsid w:val="494C3F8C"/>
    <w:rsid w:val="494E4E79"/>
    <w:rsid w:val="49500E7F"/>
    <w:rsid w:val="495138DA"/>
    <w:rsid w:val="497763FD"/>
    <w:rsid w:val="49B00079"/>
    <w:rsid w:val="49BD4A24"/>
    <w:rsid w:val="49D57EE1"/>
    <w:rsid w:val="4A2B2399"/>
    <w:rsid w:val="4A612A04"/>
    <w:rsid w:val="4A835AE0"/>
    <w:rsid w:val="4ADC5E51"/>
    <w:rsid w:val="4B5D2CD5"/>
    <w:rsid w:val="4C544655"/>
    <w:rsid w:val="4C904C34"/>
    <w:rsid w:val="4C9204E2"/>
    <w:rsid w:val="4C95329C"/>
    <w:rsid w:val="4CA036CC"/>
    <w:rsid w:val="4CB7255F"/>
    <w:rsid w:val="4D2968B7"/>
    <w:rsid w:val="4D5B1BD1"/>
    <w:rsid w:val="4D61085B"/>
    <w:rsid w:val="4D96357F"/>
    <w:rsid w:val="4DF711BF"/>
    <w:rsid w:val="4E196222"/>
    <w:rsid w:val="4E8159AF"/>
    <w:rsid w:val="4ED53EED"/>
    <w:rsid w:val="4EFB0F58"/>
    <w:rsid w:val="4F69410F"/>
    <w:rsid w:val="4F864951"/>
    <w:rsid w:val="4FAF363F"/>
    <w:rsid w:val="4FDF48D9"/>
    <w:rsid w:val="4FE173F8"/>
    <w:rsid w:val="509C264D"/>
    <w:rsid w:val="50B25B41"/>
    <w:rsid w:val="50BC54AF"/>
    <w:rsid w:val="514C2084"/>
    <w:rsid w:val="51861C65"/>
    <w:rsid w:val="51B24EEC"/>
    <w:rsid w:val="51B43769"/>
    <w:rsid w:val="51BC1E2A"/>
    <w:rsid w:val="51F05D16"/>
    <w:rsid w:val="528A11AE"/>
    <w:rsid w:val="52A07CC6"/>
    <w:rsid w:val="52FD335B"/>
    <w:rsid w:val="532062CE"/>
    <w:rsid w:val="533407C0"/>
    <w:rsid w:val="5387412A"/>
    <w:rsid w:val="5397DDDE"/>
    <w:rsid w:val="53FD2F44"/>
    <w:rsid w:val="53FF0DCE"/>
    <w:rsid w:val="54544D6D"/>
    <w:rsid w:val="545804DE"/>
    <w:rsid w:val="548D4260"/>
    <w:rsid w:val="549064CF"/>
    <w:rsid w:val="55BF59F4"/>
    <w:rsid w:val="55E05282"/>
    <w:rsid w:val="56110C8E"/>
    <w:rsid w:val="56A276D0"/>
    <w:rsid w:val="56CD4EBA"/>
    <w:rsid w:val="57B03788"/>
    <w:rsid w:val="57F401E5"/>
    <w:rsid w:val="580C5E2D"/>
    <w:rsid w:val="586C779B"/>
    <w:rsid w:val="58873140"/>
    <w:rsid w:val="588C340E"/>
    <w:rsid w:val="58A7355C"/>
    <w:rsid w:val="58EC7F03"/>
    <w:rsid w:val="58F76D4A"/>
    <w:rsid w:val="5917309A"/>
    <w:rsid w:val="592526F4"/>
    <w:rsid w:val="59840098"/>
    <w:rsid w:val="59C949EC"/>
    <w:rsid w:val="59D04F91"/>
    <w:rsid w:val="5AB54607"/>
    <w:rsid w:val="5AB741B0"/>
    <w:rsid w:val="5B035A3A"/>
    <w:rsid w:val="5B3421AF"/>
    <w:rsid w:val="5B7D1719"/>
    <w:rsid w:val="5B9E651D"/>
    <w:rsid w:val="5BE41C7F"/>
    <w:rsid w:val="5BFF1837"/>
    <w:rsid w:val="5C063D09"/>
    <w:rsid w:val="5C435B8D"/>
    <w:rsid w:val="5CC14841"/>
    <w:rsid w:val="5CD643C2"/>
    <w:rsid w:val="5D253771"/>
    <w:rsid w:val="5D3C5BA5"/>
    <w:rsid w:val="5DA1645E"/>
    <w:rsid w:val="5DAE345A"/>
    <w:rsid w:val="5DBB39A0"/>
    <w:rsid w:val="5DBE4F38"/>
    <w:rsid w:val="5E14229A"/>
    <w:rsid w:val="5E38554B"/>
    <w:rsid w:val="5E5431CD"/>
    <w:rsid w:val="5F2065C8"/>
    <w:rsid w:val="5FEB4A4B"/>
    <w:rsid w:val="611E6C1C"/>
    <w:rsid w:val="613D1EB7"/>
    <w:rsid w:val="61C61E38"/>
    <w:rsid w:val="62331957"/>
    <w:rsid w:val="63213BB4"/>
    <w:rsid w:val="634D1122"/>
    <w:rsid w:val="63BA5678"/>
    <w:rsid w:val="63C45F36"/>
    <w:rsid w:val="64165519"/>
    <w:rsid w:val="643200F6"/>
    <w:rsid w:val="649D4B85"/>
    <w:rsid w:val="64CE046B"/>
    <w:rsid w:val="64D82E8B"/>
    <w:rsid w:val="653E7950"/>
    <w:rsid w:val="661F7A8A"/>
    <w:rsid w:val="66D46B60"/>
    <w:rsid w:val="675A48DF"/>
    <w:rsid w:val="676770CE"/>
    <w:rsid w:val="679E2A0F"/>
    <w:rsid w:val="68A74C6B"/>
    <w:rsid w:val="69872FA0"/>
    <w:rsid w:val="69C7211C"/>
    <w:rsid w:val="69D70A50"/>
    <w:rsid w:val="69E34809"/>
    <w:rsid w:val="6AE05AA1"/>
    <w:rsid w:val="6B487B7E"/>
    <w:rsid w:val="6B8F3DB5"/>
    <w:rsid w:val="6B997EDF"/>
    <w:rsid w:val="6BA50B91"/>
    <w:rsid w:val="6BC54056"/>
    <w:rsid w:val="6C57653C"/>
    <w:rsid w:val="6C8F263F"/>
    <w:rsid w:val="6D3323BC"/>
    <w:rsid w:val="6E0D279D"/>
    <w:rsid w:val="6E157149"/>
    <w:rsid w:val="6E1B7C7E"/>
    <w:rsid w:val="6E9D44F7"/>
    <w:rsid w:val="6EFF5CCE"/>
    <w:rsid w:val="6F7C56DB"/>
    <w:rsid w:val="707961D1"/>
    <w:rsid w:val="70CF7EE0"/>
    <w:rsid w:val="70F00C1D"/>
    <w:rsid w:val="71052DB8"/>
    <w:rsid w:val="71346E5A"/>
    <w:rsid w:val="716B2491"/>
    <w:rsid w:val="71A343C4"/>
    <w:rsid w:val="72404633"/>
    <w:rsid w:val="728D7A35"/>
    <w:rsid w:val="72ED6B92"/>
    <w:rsid w:val="735D6752"/>
    <w:rsid w:val="73712CCC"/>
    <w:rsid w:val="739C3AEB"/>
    <w:rsid w:val="73A155A6"/>
    <w:rsid w:val="73F64CEB"/>
    <w:rsid w:val="741C16EF"/>
    <w:rsid w:val="743531C2"/>
    <w:rsid w:val="743B3E91"/>
    <w:rsid w:val="74631C62"/>
    <w:rsid w:val="749704B3"/>
    <w:rsid w:val="74E50822"/>
    <w:rsid w:val="751C7E3C"/>
    <w:rsid w:val="75A22D1B"/>
    <w:rsid w:val="75A47394"/>
    <w:rsid w:val="7773491F"/>
    <w:rsid w:val="77775FE6"/>
    <w:rsid w:val="77DD70DB"/>
    <w:rsid w:val="784B4258"/>
    <w:rsid w:val="78BF19EB"/>
    <w:rsid w:val="78FB4BB6"/>
    <w:rsid w:val="79043F06"/>
    <w:rsid w:val="79DE2FF1"/>
    <w:rsid w:val="7A7226AF"/>
    <w:rsid w:val="7A73405E"/>
    <w:rsid w:val="7A971365"/>
    <w:rsid w:val="7AE837E3"/>
    <w:rsid w:val="7AEF51CB"/>
    <w:rsid w:val="7B081C9A"/>
    <w:rsid w:val="7B0C1162"/>
    <w:rsid w:val="7B344CA7"/>
    <w:rsid w:val="7BAF49F6"/>
    <w:rsid w:val="7BBC107B"/>
    <w:rsid w:val="7BDB4D25"/>
    <w:rsid w:val="7C304413"/>
    <w:rsid w:val="7C3B5127"/>
    <w:rsid w:val="7D750B61"/>
    <w:rsid w:val="7D9B6771"/>
    <w:rsid w:val="7DBD7C50"/>
    <w:rsid w:val="7E0B3EED"/>
    <w:rsid w:val="7EC40F71"/>
    <w:rsid w:val="7EF37C31"/>
    <w:rsid w:val="7EFCDDF7"/>
    <w:rsid w:val="7F056143"/>
    <w:rsid w:val="7F362E0C"/>
    <w:rsid w:val="7F3A6B56"/>
    <w:rsid w:val="7F3C7129"/>
    <w:rsid w:val="7F413799"/>
    <w:rsid w:val="7F7F5721"/>
    <w:rsid w:val="7FBE329C"/>
    <w:rsid w:val="7FC3364F"/>
    <w:rsid w:val="EBDD6E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pPr>
      <w:jc w:val="left"/>
    </w:pPr>
  </w:style>
  <w:style w:type="paragraph" w:styleId="3">
    <w:name w:val="Body Text Indent"/>
    <w:basedOn w:val="1"/>
    <w:link w:val="17"/>
    <w:qFormat/>
    <w:uiPriority w:val="0"/>
    <w:pPr>
      <w:spacing w:after="120"/>
      <w:ind w:left="420" w:leftChars="200"/>
    </w:pPr>
  </w:style>
  <w:style w:type="paragraph" w:styleId="4">
    <w:name w:val="Balloon Text"/>
    <w:basedOn w:val="1"/>
    <w:link w:val="16"/>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Normal (Web)"/>
    <w:basedOn w:val="1"/>
    <w:unhideWhenUsed/>
    <w:qFormat/>
    <w:uiPriority w:val="99"/>
    <w:pPr>
      <w:spacing w:beforeAutospacing="1" w:afterAutospacing="1"/>
      <w:jc w:val="left"/>
    </w:pPr>
    <w:rPr>
      <w:rFonts w:cs="Times New Roman"/>
      <w:kern w:val="0"/>
      <w:sz w:val="24"/>
    </w:rPr>
  </w:style>
  <w:style w:type="paragraph" w:styleId="9">
    <w:name w:val="Body Text First Indent 2"/>
    <w:basedOn w:val="3"/>
    <w:next w:val="1"/>
    <w:link w:val="18"/>
    <w:qFormat/>
    <w:uiPriority w:val="0"/>
    <w:pPr>
      <w:adjustRightInd w:val="0"/>
      <w:ind w:left="0" w:leftChars="0" w:firstLine="880" w:firstLineChars="200"/>
    </w:pPr>
    <w:rPr>
      <w:rFonts w:ascii="Calibri" w:hAnsi="Calibri" w:eastAsia="仿宋" w:cs="Times New Roman"/>
      <w:sz w:val="32"/>
    </w:rPr>
  </w:style>
  <w:style w:type="character" w:styleId="12">
    <w:name w:val="page number"/>
    <w:basedOn w:val="11"/>
    <w:qFormat/>
    <w:uiPriority w:val="0"/>
  </w:style>
  <w:style w:type="paragraph" w:customStyle="1" w:styleId="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14">
    <w:name w:val="页眉 Char"/>
    <w:basedOn w:val="11"/>
    <w:link w:val="6"/>
    <w:qFormat/>
    <w:uiPriority w:val="0"/>
    <w:rPr>
      <w:rFonts w:asciiTheme="minorHAnsi" w:hAnsiTheme="minorHAnsi" w:eastAsiaTheme="minorEastAsia" w:cstheme="minorBidi"/>
      <w:kern w:val="2"/>
      <w:sz w:val="18"/>
      <w:szCs w:val="18"/>
    </w:rPr>
  </w:style>
  <w:style w:type="character" w:customStyle="1" w:styleId="15">
    <w:name w:val="页脚 Char"/>
    <w:basedOn w:val="11"/>
    <w:link w:val="5"/>
    <w:qFormat/>
    <w:uiPriority w:val="99"/>
    <w:rPr>
      <w:rFonts w:asciiTheme="minorHAnsi" w:hAnsiTheme="minorHAnsi" w:eastAsiaTheme="minorEastAsia" w:cstheme="minorBidi"/>
      <w:kern w:val="2"/>
      <w:sz w:val="18"/>
      <w:szCs w:val="18"/>
    </w:rPr>
  </w:style>
  <w:style w:type="character" w:customStyle="1" w:styleId="16">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17">
    <w:name w:val="正文文本缩进 Char"/>
    <w:basedOn w:val="11"/>
    <w:link w:val="3"/>
    <w:qFormat/>
    <w:uiPriority w:val="0"/>
    <w:rPr>
      <w:rFonts w:asciiTheme="minorHAnsi" w:hAnsiTheme="minorHAnsi" w:eastAsiaTheme="minorEastAsia" w:cstheme="minorBidi"/>
      <w:kern w:val="2"/>
      <w:sz w:val="21"/>
      <w:szCs w:val="22"/>
    </w:rPr>
  </w:style>
  <w:style w:type="character" w:customStyle="1" w:styleId="18">
    <w:name w:val="正文首行缩进 2 Char"/>
    <w:basedOn w:val="17"/>
    <w:link w:val="9"/>
    <w:qFormat/>
    <w:uiPriority w:val="0"/>
    <w:rPr>
      <w:rFonts w:ascii="Calibri" w:hAnsi="Calibri" w:eastAsia="仿宋" w:cstheme="minorBidi"/>
      <w:kern w:val="2"/>
      <w:sz w:val="32"/>
      <w:szCs w:val="22"/>
    </w:rPr>
  </w:style>
  <w:style w:type="paragraph" w:customStyle="1" w:styleId="19">
    <w:name w:val="列出段落2"/>
    <w:basedOn w:val="1"/>
    <w:qFormat/>
    <w:uiPriority w:val="34"/>
    <w:pPr>
      <w:ind w:firstLine="420" w:firstLineChars="200"/>
    </w:pPr>
  </w:style>
  <w:style w:type="paragraph" w:styleId="20">
    <w:name w:val="List Paragraph"/>
    <w:basedOn w:val="1"/>
    <w:unhideWhenUsed/>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0a61a3db-8f4c-4072-a7c6-4242cc9ac475</errorID>
      <errorWord xmlns="http://schemas.wps.cn/vas-ai-hub/contract-review">茯湿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茯苓</item>
      </candidateList>
      <explain xmlns="http://schemas.wps.cn/vas-ai-hub/contract-review"/>
      <paraID xmlns="http://schemas.wps.cn/vas-ai-hub/contract-review">443FF2A4</paraID>
      <start xmlns="http://schemas.wps.cn/vas-ai-hub/contract-review">150</start>
      <end xmlns="http://schemas.wps.cn/vas-ai-hub/contract-review">152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9b3c58a3-8200-4d17-8929-f1acbf454259</errorID>
      <errorWord xmlns="http://schemas.wps.cn/vas-ai-hub/contract-review">茯湿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保湿</item>
      </candidateList>
      <explain xmlns="http://schemas.wps.cn/vas-ai-hub/contract-review"/>
      <paraID xmlns="http://schemas.wps.cn/vas-ai-hub/contract-review">443FF2A4</paraID>
      <start xmlns="http://schemas.wps.cn/vas-ai-hub/contract-review">426</start>
      <end xmlns="http://schemas.wps.cn/vas-ai-hub/contract-review">428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51af9ec1-bdef-42c0-9019-a6dad9291931</errorID>
      <errorWord xmlns="http://schemas.wps.cn/vas-ai-hub/contract-review">标的原因</errorWord>
      <group xmlns="http://schemas.wps.cn/vas-ai-hub/contract-review">L1_Grammar</group>
      <groupName xmlns="http://schemas.wps.cn/vas-ai-hub/contract-review">语法问题</groupName>
      <ability xmlns="http://schemas.wps.cn/vas-ai-hub/contract-review">L2_Confusion</ability>
      <abilityName xmlns="http://schemas.wps.cn/vas-ai-hub/contract-review">结构混乱</abilityName>
      <candidateList xmlns="http://schemas.wps.cn/vas-ai-hub/contract-review">
        <item xmlns="http://schemas.wps.cn/vas-ai-hub/contract-review">标</item>
      </candidateList>
      <explain xmlns="http://schemas.wps.cn/vas-ai-hub/contract-review">句子中可能存在两种以上的句法结构，导致结构混乱。</explain>
      <paraID xmlns="http://schemas.wps.cn/vas-ai-hub/contract-review">650319CC</paraID>
      <start xmlns="http://schemas.wps.cn/vas-ai-hub/contract-review">204</start>
      <end xmlns="http://schemas.wps.cn/vas-ai-hub/contract-review">208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92b67bfb-d5cb-465c-8abd-9274bbed520d</errorID>
      <errorWord xmlns="http://schemas.wps.cn/vas-ai-hub/contract-review">硫磺熏蒸</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硫黄熏蒸</item>
      </candidateList>
      <explain xmlns="http://schemas.wps.cn/vas-ai-hub/contract-review">词汇[硫磺熏蒸]为不规范表述或旧称，其规范书面表述为[硫黄熏蒸]。</explain>
      <paraID xmlns="http://schemas.wps.cn/vas-ai-hub/contract-review">650319CC</paraID>
      <start xmlns="http://schemas.wps.cn/vas-ai-hub/contract-review">262</start>
      <end xmlns="http://schemas.wps.cn/vas-ai-hub/contract-review">266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63df19c8-2a34-4fac-9416-43bc1784d598</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5B3F7E21</paraID>
      <start xmlns="http://schemas.wps.cn/vas-ai-hub/contract-review">41</start>
      <end xmlns="http://schemas.wps.cn/vas-ai-hub/contract-review">42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1af31c2e-9c14-4382-9ba6-234361e4e360</errorID>
      <errorWord xmlns="http://schemas.wps.cn/vas-ai-hub/contract-review">而</errorWord>
      <group xmlns="http://schemas.wps.cn/vas-ai-hub/contract-review">L1_Grammar</group>
      <groupName xmlns="http://schemas.wps.cn/vas-ai-hub/contract-review">语法问题</groupName>
      <ability xmlns="http://schemas.wps.cn/vas-ai-hub/contract-review">L2_Missing</ability>
      <abilityName xmlns="http://schemas.wps.cn/vas-ai-hub/contract-review">成分残缺</abilityName>
      <candidateList xmlns="http://schemas.wps.cn/vas-ai-hub/contract-review">
        <item xmlns="http://schemas.wps.cn/vas-ai-hub/contract-review">的缺陷而</item>
      </candidateList>
      <explain xmlns="http://schemas.wps.cn/vas-ai-hub/contract-review">句子中可能存在主谓宾、修饰语或者必要的词语残缺。</explain>
      <paraID xmlns="http://schemas.wps.cn/vas-ai-hub/contract-review">5B3F7E21</paraID>
      <start xmlns="http://schemas.wps.cn/vas-ai-hub/contract-review">204</start>
      <end xmlns="http://schemas.wps.cn/vas-ai-hub/contract-review">205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b7074ca0-7c13-4eeb-b62b-9a8667aa6e68</errorID>
      <errorWord xmlns="http://schemas.wps.cn/vas-ai-hub/contract-review">话</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花</item>
      </candidateList>
      <explain xmlns="http://schemas.wps.cn/vas-ai-hub/contract-review">存在发音相同字词的误用。</explain>
      <paraID xmlns="http://schemas.wps.cn/vas-ai-hub/contract-review">6A24299A</paraID>
      <start xmlns="http://schemas.wps.cn/vas-ai-hub/contract-review">118</start>
      <end xmlns="http://schemas.wps.cn/vas-ai-hub/contract-review">119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29842250-76ce-491c-8d16-4ba5224bf4b4</errorID>
      <errorWord xmlns="http://schemas.wps.cn/vas-ai-hub/contract-review">化类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花类</item>
      </candidateList>
      <explain xmlns="http://schemas.wps.cn/vas-ai-hub/contract-review"/>
      <paraID xmlns="http://schemas.wps.cn/vas-ai-hub/contract-review">6A24299A</paraID>
      <start xmlns="http://schemas.wps.cn/vas-ai-hub/contract-review">143</start>
      <end xmlns="http://schemas.wps.cn/vas-ai-hub/contract-review">145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aa1f5c6a-9581-43ce-864e-3c1da5c84d02</errorID>
      <errorWord xmlns="http://schemas.wps.cn/vas-ai-hub/contract-review">使用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食用</item>
      </candidateList>
      <explain xmlns="http://schemas.wps.cn/vas-ai-hub/contract-review">〈动〉做食物用：～油｜～植物。</explain>
      <paraID xmlns="http://schemas.wps.cn/vas-ai-hub/contract-review">4397D2F4</paraID>
      <start xmlns="http://schemas.wps.cn/vas-ai-hub/contract-review">51</start>
      <end xmlns="http://schemas.wps.cn/vas-ai-hub/contract-review">53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72d5f48d-d049-4a84-83c2-c4a62ee643ee</errorID>
      <errorWord xmlns="http://schemas.wps.cn/vas-ai-hub/contract-review">剂的原因</errorWord>
      <group xmlns="http://schemas.wps.cn/vas-ai-hub/contract-review">L1_Grammar</group>
      <groupName xmlns="http://schemas.wps.cn/vas-ai-hub/contract-review">语法问题</groupName>
      <ability xmlns="http://schemas.wps.cn/vas-ai-hub/contract-review">L2_Confusion</ability>
      <abilityName xmlns="http://schemas.wps.cn/vas-ai-hub/contract-review">结构混乱</abilityName>
      <candidateList xmlns="http://schemas.wps.cn/vas-ai-hub/contract-review">
        <item xmlns="http://schemas.wps.cn/vas-ai-hub/contract-review">剂</item>
      </candidateList>
      <explain xmlns="http://schemas.wps.cn/vas-ai-hub/contract-review">句子中可能存在两种以上的句法结构，导致结构混乱。</explain>
      <paraID xmlns="http://schemas.wps.cn/vas-ai-hub/contract-review">4E1A075A</paraID>
      <start xmlns="http://schemas.wps.cn/vas-ai-hub/contract-review">254</start>
      <end xmlns="http://schemas.wps.cn/vas-ai-hub/contract-review">258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893ae5dc-9dd6-4339-902c-5399d681f5b2</errorID>
      <errorWord xmlns="http://schemas.wps.cn/vas-ai-hub/contract-review">食欲不振</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食欲缺乏</item>
      </candidateList>
      <explain xmlns="http://schemas.wps.cn/vas-ai-hub/contract-review">医学名词[食欲不振]为不规范表述或旧称，其规范书面表述为[食欲缺乏]。</explain>
      <paraID xmlns="http://schemas.wps.cn/vas-ai-hub/contract-review">19C2E95F</paraID>
      <start xmlns="http://schemas.wps.cn/vas-ai-hub/contract-review">70</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a1a9a142-5456-483e-a507-2759126586ec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19C2E95F</paraID>
      <start xmlns="http://schemas.wps.cn/vas-ai-hub/contract-review">86</start>
      <end xmlns="http://schemas.wps.cn/vas-ai-hub/contract-review">87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53aea30d-fbef-4e88-9eee-af8fb70ab1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7259</Words>
  <Characters>7905</Characters>
  <Lines>9</Lines>
  <Paragraphs>2</Paragraphs>
  <TotalTime>18</TotalTime>
  <ScaleCrop>false</ScaleCrop>
  <LinksUpToDate>false</LinksUpToDate>
  <CharactersWithSpaces>7994</CharactersWithSpaces>
  <Application>WPS Office_11.8.0.12357_F1E327BC-269C-435d-A152-05C5408002CA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2021-01-13T01:57:00Z</dcterms:created>
  <dc:creator>ywk-rx</dc:creator>
  <cp:lastModifiedBy>oa</cp:lastModifiedBy>
  <cp:lastPrinted>2024-06-13T06:27:00Z</cp:lastPrinted>
  <dcterms:modified xsi:type="dcterms:W3CDTF">2026-03-19T17:45:39Z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2052-11.8.0.12357</vt:lpwstr>
  </property>
  <property fmtid="{D5CDD505-2E9C-101B-9397-08002B2CF9AE}" pid="3" name="ICV">
    <vt:lpwstr>ADF2D831737D471293C93496BFD2A295_13</vt:lpwstr>
  </property>
  <property fmtid="{D5CDD505-2E9C-101B-9397-08002B2CF9AE}" pid="4" name="KSOTemplateDocerSaveRecord">
    <vt:lpwstr>eyJoZGlkIjoiMTg1Nzk0NGJjYjlhZTdmZjU0YmM5NTY3ODhkYTUwMzciLCJ1c2VySWQiOiI2NDk3NTE4MjIifQ==</vt:lpwstr>
  </property>
</Properties>
</file>